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ՀՀՏԿԵՆ-Ջ-ԷԱՃԱՊՁԲ-25/27   ծածկագրով էլեկտրոնային աճուրդի ընթացակարգով յուղաներկի և լուծիչի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ՀՀՏԿԵՆ-Ջ-ԷԱՃԱՊՁԲ-25/27   ծածկագրով էլեկտրոնային աճուրդի ընթացակարգով յուղաներկի և լուծիչի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ՀՀՏԿԵՆ-Ջ-ԷԱՃԱՊՁԲ-25/27   ծածկագրով էլեկտրոնային աճուրդի ընթացակարգով յուղաներկի և լուծիչի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ՀՀՏԿԵՆ-Ջ-ԷԱՃԱՊՁԲ-25/27   ծածկագրով էլեկտրոնային աճուրդի ընթացակարգով յուղաներկի և լուծիչի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յուղաներկ, նախատեսված մթնոլորտային ազդեցություններին ենթարկվող բետոնե մակերեսների ներկման համար: Գույնը՝ սպիտակ, փաթեթավորումը՝  6 կամ 10 կգ տարողությամբ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յուղաներկերի նոսրացման լուծիչ, փաթեթավորված 0.75 լ կամ 1.0 լ տարողությամբ տարաներում։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