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ՀՀԱՆՇՕԾ-ԷԱՃԱՊՁԲ-2025/25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ՀՀԱՆՇՕԾ-ԷԱՃԱՊՁԲ-2025/25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ՀՀԱՆՇՕԾ-ԷԱՃԱՊՁԲ-2025/25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բեռնամարդատար մեքենայի ձեռբերման նպատակով հայտարարված  ՀՀԱՆՇՕԾ-ԷԱՃԱՊՁԲ-2025/25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կամ 200 000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ավտոմեքենա.
Թափքի տեսակը ամենագնաց
Արտադրման տարեթիվը 2025 թվականի, նոր չօգտագործված:
Շաչժիչի աշխատանքային ծավալը   2,0 լ  ± 0,5լ , տուրբո բենզինային,
Հզորությունը` նվազագույնը 160 ձ/ուժ
Պտտման մոմենտ`  նվազագույնը 400 Ն/Մ  
Երկարությունը` նվազագույնը 5400մմ  առավելագույնը 5450մմ
Լայնությունը` նվազագույնը  1850մմ առավելագույնը  1950մմ 
Բարձրությունը.`  նվազագույնը 1800 մմ առավելագույնը  1900 մմ
Բեռնախցիկի ծավալը` 
երկարությունը նվազագույնը 1500մմ առավելագույնը 1550մմ
լայնությունը նվազագույնը 1500մմ առավելագույնը 1600մմ
բարձրությունը` նվազագույնը 500մմ առավելագույնը 550մմ
Բեռնատարողությունը` նվազագույնը 800 կգ.
Բեռնախցիկի ծածկերի առկայություն
Փոխանցման տուփը ավտոմատ նվազագույնը 6 աստիճան,
Վառելիքի բաքի տարողությունը նվազագույնը 80լ
Նստատեղերի քանակը 5
ABS, EBD, ESP, TCS, BA  արգելակման համակարգեր
Անվտանգության առնվազն 2 բարձիկներ
Բորտ համկարգիչ
Հետև տեսախցիկի առկայություն
Դիմացի և հետևի կայանման սենսորներ
Կրուիզ կոնտրոլ համակարգ
Կոնդիցոների առկայություն
Bluetooth համակարգ 
Լուսարձակների և անձրևաթարթիչների ավտոմատ միացման համակարգ 
Հակամառախուղային լույսեր
Ձուլած անվահեծեր նվազագույնը 17 դյում
Երաշխիքային սպասարկումը առնվազն 5 տարի կամ 200 000 կմ: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համաձայնագրին ուժի մեջ մտնելու պահից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