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անվադողեր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տեսակաչափը՝ 205/70/R16 առանց օդախցիկի, նախատեսված Վազ 21214 մակնիշի ավտոմեքենայի համար։ Դողը պետք է համապատասխանի ՀՀ կառավարության 2004 թվականի նոյեմբերի 11-ի N 1558-ն որոշմաբ հաստատված «Օդաճնշման դողերի տեխնիկական կանոնակարգի» պահանջներին։
Արտադրության տարեթիվը՝ ոչ շուտ - 2024 թվականի 4-րդ եռամսյակի:
Արագության ինդեքսը - Q(160 կմ/ժ):
Ծանրաբեռնվածության ինդեքսը՝ ոչ պակաս – 91 (615 կգ):
Մակնիշը՝ «KAMA», «Maxxis», «Winmaster», «Kingboss», «Roadx»։
Նվազագույն երաշխիքային վազքը՝ 10 000կմ:
Դողերը պետք է լինեն չօգտագործված, չդեֆորմացված, չվնասված, ունենան արտադրող գործարանի կողմից տրված ծագման և համապատասխանության փաստաթղթեր (սերտիֆիկատ և այլն)։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տեսակաչափը՝ 235/65/R16, առանց օդախցիկի, նախատեսված KIA Sportage 2.7L մակնիշի ավտոմեքենայի համար։ Դողր պետք է համապատասխանի ՀՀ կառավարության 2004 թվականի նոյեմբերի 11-ի N 1558-ն որոշմաբ հաստատված «Օդաճնշման դողերի տեխնիկական կանոնակարգի» պահանջներին։
Արտադրության տարեթիվը՝ ոչ շուտ - 2024 թվականի 4-րդ եռամսյակի:
Արագության ինդեքսը - Q(160 կմ/ժ):
Ծանրաբեռնվածության ինդեքսը՝ ոչ պակաս – 91 (615 կգ):
Մակնիշը՝ «Maxxis», «Winmaster», «kingboss», «ROADX»։
Նվազագույն երաշխիքային վազքը՝ 10 000կմ: Դողերը պետք է լինեն չօգտագործված, չդեֆորմացված, չվնասված, ունենան արտադրող գործարանի կողմից տրված ծագման և համապատասխանության փաստաթղթեր (սերտիֆիկատ և այլն)։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