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համակարգչային և կենցաղային սարքավորումների և գույքի գնման ընթացակարգ ՆՄԲԿ-ԷԱՃԱՊՁԲ-25/76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համակարգչային և կենցաղային սարքավորումների և գույքի գնման ընթացակարգ ՆՄԲԿ-ԷԱՃԱՊՁԲ-25/76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համակարգչային և կենցաղային սարքավորումների և գույքի գնման ընթացակարգ ՆՄԲԿ-ԷԱՃԱՊՁԲ-25/76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համակարգչային և կենցաղային սարքավորումների և գույքի գնման ընթացակարգ ՆՄԲԿ-ԷԱՃԱՊՁԲ-25/76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Պիտակի թերմոպտիչ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ընթերցող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Պիտակի թերմոպտիչ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ընթերցող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Պիտակի թերմոպտիչ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ընթերցող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