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աթոռների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աթոռների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աթոռների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աթոռների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,հինգ թևանի մետաղական խաչուկով,սիլիկոնե անիվներով։Աթոռն ունի բարձրության կարգավորման, ճոճվելու և մեկ աշխատանքային դիրքում ֆիքսելու հնարավորություն ։Աթոռի արմկակալները պլաստիկ են,որոնք ամրանում են նստատեղին և թիկնակին ,ապահովելով ամրություն ։Նստատեղը և թիկնակը պատրաստված են 10մմ հաստության նրբատախտակից, 6 սմ հաստությոն սպունգից և պաստառապատված են բարձր որակի կտորով ։Թիկնակի հետնամասը պատված  է 5մմ հաստության սպունգով ։Նստատեղի լայնությունը 52 սմ է,խորությունը՝ 49 սմ։Արմկակալների միջև հեռավորությունը 51 սմ է։Թիկնակի լայնությունը ամենանեղ մասում 42սմ է ,ամենալայն մասում 51 սմ ։Գույնը՝ բաց մոխրագույն։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