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ՀԿԱԾ-ԷԱՃԱՊՁԲ-25/48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ՀԿԱԾ-ԷԱՃԱՊՁԲ-25/48 ծածկագրով ՀԿԱԾ կարիքների համար գրենական պիտույքների և տոներային քարտրիջների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ՀԿԱԾ-ԷԱՃԱՊՁԲ-25/48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ՀԿԱԾ-ԷԱՃԱՊՁԲ-25/48 ծածկագրով ՀԿԱԾ կարիքների համար գրենական պիտույքների և տոներային քարտրիջների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ՀԿԱԾ-ԷԱՃԱՊՁԲ-25/48 ծածկագրով ՀԿԱԾ կարիքների համար գրենական պիտույքների և տոներային քարտրիջների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ՀԿԱԾ-ԷԱՃԱՊՁԲ-25/48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ՀԿԱԾ-ԷԱՃԱՊՁԲ-25/48 ծածկագրով ՀԿԱԾ կարիքների համար գրենական պիտույքների և տոներային քարտրիջների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2025.07.01. 11:45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ՀԿԱԾ-ԷԱՃԱՊՁԲ-25/48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ՀԿԱԾ-ԷԱՃԱՊՁԲ-25/48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«ՀԿԱԾ-ԷԱՃԱՊՁԲ-25/48»*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«ՀԿԱԾ-ԷԱՃԱՊՁԲ-25/48»*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Canon i-sensys MF463DW – տեսակի տիպչի համար, առնվազն 10000 տպաքանակի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11.5x22.5 սմ, 80գր/մ2 թղթից, ինքնասոսնձվող: Նախատեսված գաղտնիություն պարունակող նամակների (գրություններ)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40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