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EU-5300pro հիբրիդային վերլուծիչի համար նախատեսված փորձանոթներ (օրիգինալ
Mindray արտադրության: Տվյալ կետը դիտարկվում է սարքավորման անխափան աշխատանքի համար:) Ֆորմատ՝
հատ: Փորձանոթի տրամագիծը ոչ պակաս 15մմ և ոչ ավել 16 մմ, բարձրությունը ոչ պակաս 100 մմ և ոչ ավել
110 մմ: Փորձանոթները միանգամյա օգտագործման են: Փորձանոթի նյութը PS:Փորձանոթի հատակը հատուկ
նախատեսված է Mindray EU-5300pro սարքի շտատիվների համար համար:Մատակարված դեղորայքը պետք է լինի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