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ՖՆ-ԷԱՃԱՊՁԲ-25/3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ֆինանսների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Մ.Ադամյան-1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տոներային քարթրիջների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011800114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lusine.sahakyan@minfin.am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ֆինանսների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ՖՆ-ԷԱՃԱՊՁԲ-25/3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ֆինանսների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ֆինանսների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տոներային քարթրիջների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ֆինանսների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տոներային քարթրիջների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ՖՆ-ԷԱՃԱՊՁԲ-25/3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lusine.sahakyan@minfin.am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տոներային քարթրիջների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385.68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ֆինանսների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ՖՆ-ԷԱՃԱՊՁԲ-25/3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ՖՆ-ԷԱՃԱՊՁԲ-25/3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ՖՆ-ԷԱՃԱՊՁԲ-25/3»*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ՖՆ-ԷԱՃԱՊՁԲ-25/3»*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_12___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i-SENSYS LBP6020 տպիչի համար, առնվազն 2500 Ա4 ձևաչափի էջ 5% ծածկույթով տպելու հնարավորությամբ՝ համաձայն ISO/IEC ստանդարտի, գույնը` սև, փաթեթավորված տոպրակով և ստվարաթղթե տուփով: Տուփի վրա պետք է նշված լինի քարթրիջը բնութագրող տեղեկատվություն, ինչպես նաև քարթրիջին համապատասխանող տպիչների մակնիշները:
Ապրանքը պետք է լինի նոր, չօգտագործված: Ապրանքի տեղափոխումն ու բեռնաթափումն իրականացնում է Կատարողը: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LJ 4103dw տպիչի համար,  առնվազն 9700 Ա4 ձևաչափի էջ 5% ծածկույթով տպելու հնարավորությամբ՝ համաձայն ISO/IEC ստանդարտի, գույնը` սև, համապատասխան չիպի առկայությամբ: Փաթեթավորված տոպրակով և ստվարաթղթե տուփով: Տուփի վրա պետք է նշված լինի քարթրիջը բնութագրող տեղեկատվություն, ինչպես նաև քարթրիջին համապատասխանող տպիչների մակնիշները:
Ապրանքը պետք է լինի նոր, չօգտագործված: Ապրանքի տեղափոխումն ու բեռնաթափումն իրականացնում է Կատարողը: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Պայմանագիրն ուժի մեջ մտնելու օրվանից հաշված 50 օրացուցային օրվա ընթացքում, բացառությամբ, երբ մասնակիցը համաձայն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Պայմանագիրն ուժի մեջ մտնելու օրվանից հաշված 50 օրացուցային օրվա ընթացքում, բացառությամբ, երբ մասնակիցը համաձայն է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