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ԵՊՀ-ԷԱՃԱՊՁԲ-25/166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Фонд ЕГУ</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Ал. Манукяна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компьютерной техники для нужд ИКПО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Гоар Мелян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gnumner@ysu.am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060710009</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Фонд ЕГУ</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ԵՊՀ-ԷԱՃԱՊՁԲ-25/166</w:t>
      </w:r>
      <w:r>
        <w:rPr>
          <w:rFonts w:ascii="Calibri" w:hAnsi="Calibri" w:cstheme="minorHAnsi"/>
          <w:i/>
        </w:rPr>
        <w:br/>
      </w:r>
      <w:r>
        <w:rPr>
          <w:rFonts w:ascii="Calibri" w:hAnsi="Calibri" w:cstheme="minorHAnsi"/>
          <w:szCs w:val="20"/>
          <w:lang w:val="af-ZA"/>
        </w:rPr>
        <w:t>2025.06.23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Фонд ЕГУ</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Фонд ЕГУ</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компьютерной техники для нужд ИКПО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компьютерной техники для нужд ИКПО</w:t>
      </w:r>
      <w:r>
        <w:rPr>
          <w:rFonts w:ascii="Calibri" w:hAnsi="Calibri" w:cstheme="minorHAnsi"/>
          <w:b/>
          <w:lang w:val="ru-RU"/>
        </w:rPr>
        <w:t xml:space="preserve">ДЛЯ НУЖД  </w:t>
      </w:r>
      <w:r>
        <w:rPr>
          <w:rFonts w:ascii="Calibri" w:hAnsi="Calibri" w:cstheme="minorHAnsi"/>
          <w:b/>
          <w:sz w:val="24"/>
          <w:szCs w:val="24"/>
          <w:lang w:val="af-ZA"/>
        </w:rPr>
        <w:t>Фонд ЕГУ</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ԵՊՀ-ԷԱՃԱՊՁԲ-25/166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gnumner@ysu.am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компьютерной техники для нужд ИКПО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i5/16GB/512SSD/23.8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385.68</w:t>
      </w:r>
      <w:r>
        <w:rPr>
          <w:rFonts w:ascii="Calibri" w:hAnsi="Calibri" w:cstheme="minorHAnsi"/>
          <w:szCs w:val="22"/>
        </w:rPr>
        <w:t xml:space="preserve"> драмом, российский рубль </w:t>
      </w:r>
      <w:r>
        <w:rPr>
          <w:rFonts w:ascii="Calibri" w:hAnsi="Calibri" w:cstheme="minorHAnsi"/>
          <w:lang w:val="af-ZA"/>
        </w:rPr>
        <w:t>4.9169</w:t>
      </w:r>
      <w:r>
        <w:rPr>
          <w:rFonts w:ascii="Calibri" w:hAnsi="Calibri" w:cstheme="minorHAnsi"/>
          <w:szCs w:val="22"/>
        </w:rPr>
        <w:t xml:space="preserve"> драмом, евро </w:t>
      </w:r>
      <w:r>
        <w:rPr>
          <w:rFonts w:ascii="Calibri" w:hAnsi="Calibri" w:cstheme="minorHAnsi"/>
          <w:lang w:val="af-ZA"/>
        </w:rPr>
        <w:t>444.38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2025.07.04.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ԵՊՀ-ԷԱՃԱՊՁԲ-25/166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"ԵՊՀ-ԷԱՃԱՊՁԲ-25/166"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Фонд ЕГУ*(далее — Заказчик) процедуре закупок под кодом ԵՊՀ-ԷԱՃԱՊՁԲ-25/166*.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"ԵՊՀ-ԷԱՃԱՊՁԲ-25/166"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Фонд ЕГУ*(далее — Заказчик) процедуре закупок под кодом ԵՊՀ-ԷԱՃԱՊՁԲ-25/166*.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ԵՊՀ-ԷԱՃԱՊՁԲ-25/166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ноль целых восемнадцать сотых третьего</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1</w:t>
      </w:r>
      <w:r w:rsidRPr="00E4651F">
        <w:rPr>
          <w:rFonts w:cstheme="minorHAnsi"/>
          <w:color w:val="000000" w:themeColor="text1"/>
          <w:lang w:val="ru-RU"/>
        </w:rPr>
        <w:t xml:space="preserve"> (</w:t>
      </w:r>
      <w:r w:rsidR="00091D85" w:rsidRPr="00091D85">
        <w:rPr>
          <w:rFonts w:cstheme="minorHAnsi"/>
          <w:lang w:val="hy-AM"/>
        </w:rPr>
        <w:t>один</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8.15.Ответственное ведомство МКЗК</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i5/16GB/512SSD/23.8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Процессор Не менее IntelCore™ i5-14xxx  (максимальная частота в режиме Turbo не менее 4.8 GHz, 24 MB Smart Cache, 14 cores, 20 threads)
Оперативная память Не менее  16 ГБ DDR5
Жесткий диск SSD: 500–512 ГБ M.2 SSD  PCIe NVMe
Экрана Не менее 23.8", FHD (1920 x 1080), IPS, three-sided micro-edge, anti-glare, Low Blue Light, 250 nits, 72% NTSC
Видеокарта Intel® Iris® Xᵉ Graphics/Intel UHD Graphics или выше
веб-камера: Не менее 5 MP,
Другие особенности Не менее 3xUSB 3.2 Gen 2 Type-A 10 Gbps, 1xUSB 3.2 Gen 2 Type-C 10 Gbps, 2xUSB 3.2 Gen 1 Type-A 5 Gbps, 1 HDMI 1.4, 1 DisplayPort 1.4/1.4a, headphone/microphone combo, 1 RJ-45(Gigabit Ethernet), встроенные динамики не менее 2x2w, встроенный микрофон, Wi-Fi 6E (2x2)  Bluetooth® 5.3 и более, регулируемая подставка для стола, цвет черний:
Блок питания: Блок питания 65-160Вт, предназначен для работы с переменным однофазным напряжением 220В
Клавиатура с заводскими английскими/русскими шрифтами, мышь лазерная/оптическая.
Компьютер, клавиатура, мышь от одного производителя.
В комплекте кабель питания в соответствии со стандартами, действующими на территории РА.
Наличие формы авторизации производителя (MAF).
Предлагаемое оборудование должно обслуживаться в официальном гарантийном сервисном центре на территории РА.
Гарантийное обслуживание не менее 1 лет.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лазерный, черно-белый, со сканером и копиром, А4, автоматическая двусторонняя печать.
Основные функции: Принтер, копир, сканер.
Скорость печати А4: односторонняя: не менее 40 стр./мин, двусторонняя: не менее 33 стр./мин.
Разрешение черно-белой печати: не менее 1200x1200 точек на дюйм.
Поля печати: максимум 5 мм сверху, снизу, справа и слева.
Коммуникационные технологии: UFRII, PCL6.
Дополнительные возможности печати: безопасная печать, возможность печати с USB-накопителя (JPEG/TIFF/PDF), возможность печати из облачного хранилища. Возможность копирования 2 в 1 (2 страницы на странице), 4 в 1 (4 страницы на странице), копирование удостоверений личности. Уменьшение/увеличение копии: 25–400 % (шаг 1 %). Разрешение копирования: 600x600 точек на дюйм. Двустороннее копирование: двусторонний, двусторонний, автоматический.
Точность сканирования: От 600x600 dpi до 9600x9600 dpi.
Тип сканера: планшет, ADF.
Возможность сканирования Tiff, JPEG, PDF, Compact PDF, PDF с возможностью поиска. Доступность следующих функций: сканирование в электронную почту, сканирование на ПК, сканирование на USB-накопитель, сканирование на FTP, сканирование в облако, iFax.
Скорость сканирования: одностороннее черно-белое: не менее 50 изображений/мин (300x300dpi), одностороннее цветное: не менее 40 изображений/мин (300x300dpi).
ADF (система автоматической подачи бумаги): не менее 50 листов.
Лоток для бумаги рассчитан минимум на 250 страниц.
Выходной лоток минимум на 150 страниц.
Размеры печати: A4, A5, A5 (альбомная ориентация), A6, B5, Legal, Letter.
Возможности подключения: USB2.0, 10/100/1000 Ethernet, Wireless 802.11b/g/n, Wireless Direct Connection
Процессор: не менее 1200 МГц.
Оперативная память: не менее 1 Гб.
Панель управления: ЖК цветной, сенсорный экран.
Питание: 220-240В(±10%) 50/60Гц (±2Гц), кабель питания в комплекте согласно стандартам, действующим на территории РА. Картридж/тонер: заводской  рассчитан не менее чем на 3000 страниц (включительно). Дополнительный: включая USB-кабель не менее 1,5м для подключения к компьютеру.
Гарантийное обслуживание не менее 1 года.
Наличие формы авторизации производителя (MAF).
Предлагаемое оборудование должно обслуживаться в официальном гарантийном сервисном центре на территории РА.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20-50 календарных дней со дня заключения дого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Абовяна 52/а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истечении 20-50 календарных дней со дня заключения дого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 i5/16GB/512SSD/23.8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Многофункциональный принтер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