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ՄԱՏ-ԷԱՃԱՊՁԲ-37/25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սարքերի և պարագաների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ՄԱՏ-ԷԱՃԱՊՁԲ-37/25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սարքերի և պարագաների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սարքերի և պարագաների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ՄԱՏ-ԷԱՃԱՊՁԲ-37/25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սարքերի և պարագաների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ՄԱՏ-ԷԱՃԱՊՁԲ-37/25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ՄԱՏ-ԷԱՃԱՊՁԲ-37/25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«ՄԱՏ-ԷԱՃԱՊՁԲ-37/25»*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«ՄԱՏ-ԷԱՃԱՊՁԲ-37/25»*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նոյեմբերի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ՀՀիմնական միջոց հանդիսացող ապրանքների համար երաշխիքային ժամկետը՝ ըստ
ապրանքի տեխնիկական բնութագրում նշված ժամկետի: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նոյեմբերի 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