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АBH-EAAPDzB-25/88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АBH-EAAPDzB-25/88</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Кресла</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АBH-EAAPDzB-25/88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АBH-EAAPDzB-25/88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стандартная ткань, цвет черный,
подлокотники: хромированный металл, (см. рис. 1) механизм качания: регулируемый в рабочем положении, перекладина: хромированный металл, колеса: стандарт BIFMA 5.1 (США), диаметр 10 мм., основание: немонолитное, наполнение кресла: поролон стандартной плотности 22-25 кг., м/ч, нагрузка на кресло 180 +/- 2 кг..
Габариты изделия: высота в закрытом состоянии 1м.20 см. /+-2 см/, ширина сиденья 65 см /+- 2 см/, глубина сиденья 55 см. /+- 2/. Образец изделия согласовывается с заказчиком.
Поставщик доставляет изделие. Изделие должно быть  новым, неиспользованным. Гарантийный срок: 1 год. Продавец доставляет и разгружает товар на склад (склад находится на 2 этаже).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20-й календарный день с даты вступления в силу контракта в соответствии с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