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ԱՍՀՆ-ՊՈԱԿ-ԷԱՃԱՊՁԲ-25/2-8-Վ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ԱՍՀՆ-ՊՈԱԿ-ԷԱՃԱՊՁԲ-25/2-8-Վ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ԱՍՀՆ-ՊՈԱԿ-ԷԱՃԱՊՁԲ-25/2-8-Վ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2025.07.14.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ԱՍՀՆ-ՊՈԱԿ-ԷԱՃԱՊՁԲ-25/2-8-Վ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ԱՍՀՆ-ՊՈԱԿ-ԷԱՃԱՊՁԲ-25/2-8-Վ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«ԱՍՀՆ-ՊՈԱԿ-ԷԱՃԱՊՁԲ-25/2-8-Վ»*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ԱՍՀՆ-ՊՈԱԿ-ԷԱՃԱՊՁԲ-25/2-8-Վ*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«ԱՍՀՆ-ՊՈԱԿ-ԷԱՃԱՊՁԲ-25/2-8-Վ»*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ԱՍՀՆ-ՊՈԱԿ-ԷԱՃԱՊՁԲ-25/2-8-Վ*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 Վաճառողի կողմից անհրաժեշտ կատարողական փաստաթղթերի դուրս գրման դեպքում հիմք են ընդունվում հետևյալ վավերապայմանները՝ Գեղարքունիքի մարզ, Վարդենիս Զորավար Անդրանիկի 4-րդ փողոցի 1-ին նրբ., ՀՎՀՀ` 08800705, ՀՀ ՖՆ գործառնական վարչություն, Հ/Հ` 900158000027»: Ներկայացված են առավելագույն քանակները, դրանք ենթակա են փոփոխման (նվազեցման) շահառուների թվաքանակի փոփոխությամբ պայմանավորված: Ծանոթություն  -   Մատակարարումը պետք է կատարվի Պատվիրատուի  /«Վարդենիսի շուրջօրյա մասնագիտացված խնամքի կենտրոն» ՊՈԱԿ-ի / պահանջով, պայմանագիրը և համաձայնագիրը կնքվելուց հետո մինչև դեկտեմբերի 31-ը ներառյալ:</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