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 ԻՋ ԱԱՊԿ-ԷԱՃԱՊՁԲ-2025/17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операционных светильников для нужд ЗАО «Иджеван АСПК»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ԱԱՊԿ-ԷԱՃԱՊՁԲ-2025/17</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операционных светильников для нужд ЗАО «Иджеван АСПК»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операционных светильников для нужд ЗАО «Иджеван АСПК» на 2025 год</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операционных светильников для нужд ЗАО «Иджеван АСПК»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светильники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4.79</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 ԻՋ ԱԱՊԿ-ԷԱՃԱՊՁԲ-2025/17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хирургический потолочный. Наличие светодиодных источников света; Освещенность операционного поля (расстояние: 1 м), не менее 50000 люкс; Индекс цветопередачи: не менее 80 % Ra; Цветовая температура: не менее 3800±500К; Наличие регулировки интенсивности яркости; Диаметр светового поля: не менее 150±35 мм; Глубина освещения: не менее ≥450 мм; Диаметр лампы: не менее 500 мм Рабочее напряжение: переменный ток 110-220 В, 50/60 Гц; Максимальный вес: не более 29 кг Комплектация и принадлежности; Монтаж и запуск; Обучение персонала на месте; Руководство пользователя на английском или русском языке; Оборудование должно быть новым, не бывшим в употреблении; В комплектацию входят все необходимые дополнительные устройства и принадлежности, которые необходимы для полноценной эксплуатации (например, кронштейны для крепления светильника к потолку, руководство пользователя и т. д.); Гарантия не менее 24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«Иджеванский ААПК»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