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2025.07.03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Аппарат Президента Республики Армения</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г. Ереван, пр. Маршала Баграмяна, 26/1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аварийный генератор</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Айк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hayk.khachatryan@president.am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+37410710095, +37410710096, +37410710097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Аппарат Президента Республики Армения</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HNA-EAChAPDzB-25/38</w:t>
      </w:r>
      <w:r w:rsidRPr="00F32D53">
        <w:rPr>
          <w:rFonts w:ascii="Calibri" w:hAnsi="Calibri" w:cstheme="minorHAnsi"/>
          <w:i/>
        </w:rPr>
        <w:br/>
      </w:r>
      <w:r w:rsidRPr="00F32D53">
        <w:rPr>
          <w:rFonts w:ascii="Calibri" w:hAnsi="Calibri" w:cstheme="minorHAnsi"/>
          <w:szCs w:val="20"/>
          <w:lang w:val="af-ZA"/>
        </w:rPr>
        <w:t>2025.07.03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Аппарат Президента Республики Армения</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Аппарат Президента Республики Армения</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аварийный генератор</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аварийный генератор</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Аппарат Президента Республики Армения</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HNA-EAChAPDzB-25/38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hayk.khachatryan@president.am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аварийный генератор</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генератор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384.51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4.8926</w:t>
      </w:r>
      <w:r w:rsidRPr="00F32D53">
        <w:rPr>
          <w:rFonts w:ascii="Calibri" w:hAnsi="Calibri" w:cstheme="minorHAnsi"/>
          <w:szCs w:val="22"/>
        </w:rPr>
        <w:t xml:space="preserve"> драмом, евро </w:t>
      </w:r>
      <w:r w:rsidR="00991780" w:rsidRPr="00F32D53">
        <w:rPr>
          <w:rFonts w:ascii="Calibri" w:hAnsi="Calibri" w:cstheme="minorHAnsi"/>
          <w:lang w:val="af-ZA"/>
        </w:rPr>
        <w:t>452.41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2025.07.15.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00E93C04" w:rsidRPr="00F32D53">
        <w:rPr>
          <w:rFonts w:ascii="Calibri" w:hAnsi="Calibri" w:cstheme="minorHAnsi"/>
          <w:sz w:val="23"/>
          <w:szCs w:val="23"/>
          <w:lang w:val="af-ZA"/>
        </w:rPr>
        <w:t>HNA-EAChAPDzB-25/38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'HNA-EAChAPDzB-25/38'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HNA-EAChAPDzB-25/38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Президента Республики Армения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"HNA-EAChAPDzB-25/38"*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HNA-EAChAPDzB-25/38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HNA-EAChAPDzB-25/38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генератор: дизельный, трехфазный, резервная мощность: от 150 до 188 кВА (от 120 до 150 кВт), напряжение: 400/230 В, 50 Гц, с автоматическим регулятором напряжения, предназначен для наружной установки (с металлическим звукоизолирующим кожухом), режим запуска: автоматический (при отсутствии напряжения на основной линии), с аккумуляторной батареей и зарядным устройством, уровень звука: не более 90 дБ (7 м), расход топлива при 100% нагрузке: не более 40 л/ч, объем встроенного металлического топливного бака рассчитан не менее чем на 9 часов работы, год выпуска: 2024 или 2025. Гарантия: не менее 5 лет или 2500 моточасов (в зависимости от того, что наступит раньше). Транспортировка, монтаж и наладка генератора, а также все последующие демонтажные и монтажные работы на подстанции выполняются Продавцом собственными силами, оборудованием и материалами. На подстанции демонтируются 2 вводных автоматических выключателя 2000А, 1 межшинный автоматический выключатель 1600А, 1 оборудование АВР 2000А и щит 250А. Генератор подключается к подстанции кабелем AVVG 4x95 длиной 25 метров, на котором монтируются 2 вводных 6/0,4 кВ подстанционных трехфазных воздушных выключателя 2000 А Schneider Electric EasyPact MVS20N3NW2L или эквивалент (SIEMENS SENTRON 3WA1220-X.XXX производства 2023-2025 гг.), 1 вводной 6/0,4 кВ подстанционный трехфазный воздушный выключатель 1600 А Schneider Electric EasyPact MVS16N3NW2L или эквивалент (SIEMENS SENTRON 3WA1116-X.XXX производства 2023-2025 гг.), 1 новое оборудование АВР 2000 А (автоматический резервный ввод) и одна новая вводная панель с двумя автоматами 250 А, включая оборудование АВР 250 А (автоматический резервный ввод). Гарантийный срок на автоматические выключатели и оборудование АВР составляет не менее 3 лет. На этапе исполнения договора необходимо предоставить гарантийное письмо или сертификат соответствия от производителя продукции или его представителя.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