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устройство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2025.07.03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устройство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устройство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устройство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диагностическое ультразвуковое исследование (эхо), ультразвуковые допплеровские устройства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ՍՄԳԲԿ-ԷԱՃԱՊՁԲ-25/32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диагностическое ультразвуковое исследование (эхо), ультразвуковые допплеровские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цифровая ультразвуковая система с 2 датчиками.
Цифровая стационарная ультразвуковая система 
Области применения: исследования брюшной полости, акушерство, гинекология, кардиология, сосуды, опорно-двигательный аппарат, урология, поверхностные органы и структуры, педиатрия, неонатология, ортопедия, онкология, транскраниальные исследования, трансректальные исследования;
Наличие измерений и программ:
Брюшная полость, Акушерство, Гинекология, Педиатрия, Урология, Сердечно-сосудистая система, Неонатология, Онкология, Транскраниальные исследования, Опорно-двигательная система, Ангиология,
Грудь, Щитовидная железа, Поверхностные органы;
Количество активных портов датчиков: не менее 3,
Монитор диагональю не менее 21.5 дюйма,
Сенсорный экран диагональю не менее 10 дюймов,
Количество каналов цифровой обработки передачи/приема: не менее 570 000,
Динамический диапазон: не менее 256,
Полное цифровое формирование луча,
Количество фокусов при передаче: не менее 1-8,
Глубина сканирования: не менее 38 см,
Параллельная/четверенная обработка эхо-сигналов,
Сегментное увеличение изображения, контрастность: вправо/влево, вверх/вниз, поворот: не менее 90°, 180°, 270°,
Автоматическая видеозапись обследуемого участка с возможностью редактирования, выполнения расчетов и последующей записи видео в файл,
Фильтрация изображений в реальном времени, удаление артефактов,
Детализация изображения и уменьшение артефактов,
Система архивирования и дальнейшего просмотра статических и динамических изображений (база изображений), с возможностью копирования изображений на внешние накопители и выполнения измерений в архиве,
Емкость жесткого диска: не менее 500 ГБ,
Хранение изображений: не менее 350 000,
Архивирование статических/динамических изображений на жестких дисках в формате JPEG, BMP, TIFF, AVI, DICOM.
Запись на USB Flash Drive в формате jpeg, bmp, MPEG, DICOM;
Наличие обязательных режимов:
Цветная допплерография с возможностью изменения угла,
Цветное допплеровское картирование,
Энергетический допплер с возможностью изменения угла,
Направленная энергетическая допплерография DPD,
Режимы B, M, анатомический режим M,
Высокая частота следования импульсов излучения,
Импульсно-волновая допплерография PW, 
Тканевой допплер TDI, Тканевая гармоника THI,
Импульсная инверсия, Панорама,
Автоматический анализ доплеровских кривых,
Режимы Дуплекс, Триплекс, Quad,  
Комбинированные режимы, одновременные режимы,
Режим трапецеидального искажения, режим масштабирования,
Диапазон частот импульсов излучения в пульсово-волновом допплеровском режиме не менее 1,0-22,0 кГц
Диапазон частот лучистого импульса (PRF) в непрерывном допплеровском режиме не менее: 1,0-55,0 кГц
Шкала серого не менее 256 градаций Количество зон усиления не менее: 8
Кинотеатр, количество кадров не менее: 40 000;
Устройство должно иметь следующее программное обеспечение/опции, доступные для дальнейшей покупки: Маркер синдрома Дауна, 3D/4D, Трехмерная реконструкция изображений в виде трех пересекающихся плоскостей, Объемная ультразвуковая томография, Стресс-Эхо, Автоматический расчет комплекса интима-медиа общей сонной артерии, Программа количественной оценки состояния левого желудочка сократимость, Объемная динамическая визуализация сердца плода, Программа количественной оценки эластичности тканей, Программа автоматического обнаружения и анализа опухолей молочной железы, Программа автоматического измерения фолликулов в режиме объемного сканирования 5D, Программа автоматического измерения внутричерепного пространства плода в режиме объемного сканирования 5D режим, Трехмерные датчики, Фазовый датчик, Ректо-Вагинальный датчик.
Комплектность:
- Конвексный датчик для абдоминальных, акушерских, гинекологических и сосудистых исследований.
Частота: не менее 2,0-8,0 МГц,
количество элементов: не менее 192,
угол обзора: не менее 56°,
радиус не менее 60мм
-Линейный датчик для поверхностных органов и структур, периферических сосудов, неонатологии и педиатрии
Частота: не менее 3,0-16,0 МГц,
количество элементов: не менее 192,
радиус не менее 38мм
Вес устройства не более 70 кг.
Напряжение питания: 220 В/50 Гц
Наличие сертификатов качества CE, ISO 13485.
Устройство должно быть новым, неиспользованным, произведенным не ранее 2024 года, иметь все необходимые для полноценной работы принадлежности. Гарантия не менее 12 месяцев.
Поставщик обязан обеспечить транспортировку, монтаж, испытания и обучение специалистов сертифицированными специалистами по адресу, указанному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21 календарного дня с момента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