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ԿՇՄՊ-ԷԱՃԱՊՁԲ-25/43 ծածկագրով  էլեկտրոնային աճուրդ ընթացակարգով շարժական սրսկիչի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ԿՇՄՊ-ԷԱՃԱՊՁԲ-25/43 ծածկագրով  էլեկտրոնային աճուրդ ընթացակարգով շարժական սրսկիչի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ԿՇՄՊ-ԷԱՃԱՊՁԲ-25/43 ծածկագրով  էլեկտրոնային աճուրդ ընթացակարգով շարժական սրսկիչի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ԿՇՄՊ-ԷԱՃԱՊՁԲ-25/43 ծածկագրով  էլեկտրոնային աճուրդ ընթացակարգով շարժական սրսկիչի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սրսկիչ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հզորություն՝  7,5 ձիաուժ
Խողովակի երկարությունը՝ 30 մետր
Վառելիքը՝ բենզին
Վառելիքի ծախսը՝ 600-800 գ/1ժ
Տեղափոխման ձևը՝ անիվների վրա
Բաքը՝ պլաստմասե
Տարողությունը՝ 300 լիտր
Ճնշման պոմպ՝ T30
Ճնշման չափը՝ 21-37.5 լ/ր
Ճնշման ուժը՝ 2-3.5 ՄՊա
Պոմպի պտույտների քանակը՝ 500-900 պտ/ր
Պոմպի հզորությունը՝ 2.2-4 կՎտ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