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топливо  III четверть  25/20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ՄՏԲԿ-ԷԱՃԱՊՁԲ-25/20</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топливо  III четверть  25/20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топливо  III четверть  25/20</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топливо  III четверть  25/20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регулярного типа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сентября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Нечетное число определяется методом исследования, не менее 91. Не менее 81 автомобиля. Содержание свинца не превышает 5 мг / дм3. Плотность при температуре 15 0 С составляет 720-775 кг / м 3. Содержание серы не более 10 мг / кг. Объемная доля углеводов не более ароматических - 21%, олефинов - 21%, углекислого газа - не более 1%. Массовая доля кислорода - не более 2,7%. Содержание щавелевой кислоты в оксидах - 3%, этаноле - 5%, изопропиловом спирте - 10%, изобутиловом спирте - 10%, триабутиловом спирте - 7%, эфире (C5 и выше) - 15%, других оксидах - , Безопасность, маркировка и упаковка утвержденный Решением N 1592-N от Правительства РА  11 ноября  2004 года. «Технический регламент на топливо для двигателей внутреннего сгорания», Поставка, купон. Купоны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Tовар доставляется поставщиком 3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