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ուլտրաձայնային սարքավորումների ձեռքբերում  ՀՀ ՆԳՆ ԷԱՃԱՊՁԲ-2025/ԱԽ-13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69 72 Պատասխանատու ստորաբաժանում՝  010 59 63 73, 094 89 04 89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ուլտրաձայնային սարքավորումների ձեռքբերում  ՀՀ ՆԳՆ ԷԱՃԱՊՁԲ-2025/ԱԽ-13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ուլտրաձայնային սարքավորումների ձեռքբերում  ՀՀ ՆԳՆ ԷԱՃԱՊՁԲ-2025/ԱԽ-13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ուլտրաձայնային սարքավորումների ձեռքբերում  ՀՀ ՆԳՆ ԷԱՃԱՊՁԲ-2025/ԱԽ-13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սարքավորումներ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ԷԱՃԱՊՁԲ-2025/ԱԽ-13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ԷԱՃԱՊՁԲ-2025/ԱԽ-13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20օր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