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+37491262444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մգ/խմ –ից ոչ ավելի  բ) ծծմբաջրածին և այլ լուծելի սուլֆիդներ` 23 մգ/խմ ոչ ավելի.  գ) թթվածին` 1% -ից ոչ ավելի (ծավալային մաս).  դ) ածխաթթու գազ` 4% -ից ոչ ավելի (ծավալային մաս).  ե) ջրածին` 0.1% -ից ոչ ավելի (ծավալային մաս): Գոստ 20448-90 կամ 20448-2018:  Գազի մատակարարումը պետք է իրականացվի կտրոնային տարբերակով։  Լցակայանեերը պետք է գտնվեն ք․ Երևանում և առնվազն ՀՀ 10 մարզերում: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Հակոբ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կողմերի միջև համաձայնագրի կնքման օրվանից հաշված 20 –րդ օրացուցային օրվանից, Պատվիրատուի կողմից սահմանված քանակներով, պահանջը ներկայացնելուց հետո 5 օրացույցային օրվա ընթացքուն՝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