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ԵՔ-ԷԱՃԱՊՁԲ-25/249</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принтеров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печати и/или копирования не менее 38 стр./минуту, в дуплексном режиме не менее 31 стр./минуту, при этом скорость печати первой страницы в рабочем режиме достигает максимума за 6-7 секунд, при выходе из спящего режима - за 8-9 секунд. Автоматическая двусторонняя печать: Автоматическая двусторонняя печать. Процессор: не менее 1,2 ГГц. Минимальный объем памяти 512 МБ. Формат бумаги: A4. Общая емкость стандартных лотков для бумаги: не менее 350 листов, а также при необходимости возможность добавления лотка не менее чем на 550 листов. Качество печати: не менее 1200 x 1200 dpi. Плотность бумаги Лоток 1: от 60 до 175 г/м²; Лоток 2 от 60 до 120 г/м², дополнительный лоток на 550 листов: от 60 до 120 г/м², АПД: от 60 до 90 г/м². Сетевое подключение через встроенный Ethernet 10/100/1000T. Скорость сканирования в обычном режиме: не менее 29 стр./мин., размер бумаги из АПД: максимальный 216 x 297 мм, минимальный 102 x 152 мм, автоматическое двухстороннее сканирование из АПД за 1 проход: дуплексный АПД, минимальная емкость 50 листов. Требуются эмуляция Postscript уровня 3, прямая печать PDF (v 1.7). Все необходимые кабели должны быть в комплекте. Картридж должен быть включён в заводскую комплектацию с минимальной емкостью печати 3000 страниц. Ежемесячная емкость печати до 80000 листов. Экран не менее 6,8 см цветной сенсорный. Физические параметры: в стандартной конфигурации не менее 420 мм x 390 мм x 323 мм; с дополнительными полками не менее 430 мм x 634 мм x 325 мм; Сетевые протоколы: TCP/IP, IPv4, IPv6. Гарантийный срок: не менее 1 года. Гарантийное обслуживание осуществляется в официальном сервисном центре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сентября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