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ԵԱՍՄ-ԷԱՃԱՊՁԲ-25/57 ծածկագրով աղբի համար նախատեսված պոլիէթիլենային պարկերի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ԵԱՍՄ-ԷԱՃԱՊՁԲ-25/57 ծածկագրով աղբի համար նախատեսված պոլիէթիլենային պարկերի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ԵԱՍՄ-ԷԱՃԱՊՁԲ-25/57 ծածկագրով աղբի համար նախատեսված պոլիէթիլենային պարկերի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ԵԱՍՄ-ԷԱՃԱՊՁԲ-25/57 ծածկագրով աղբի համար նախատեսված պոլիէթիլենային պարկերի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68սմ., բարձրությունը՝ 64սմ. Տոպրակի պատերի հաստությունը ոչ պակաս 40 միկրոն: Պատրաստված առաջին կարգի հումքից:
Պարտադիր պայման՝ գույնը գազարագույն /օռանժ/: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72սմ., բարձրությունը՝ 80սմ. Տոպրակի պատերի հաստությունը ոչ պակաս 40 միկրոն: Պատրաստված առաջին կարգի հումքից:
Պարտադիր պայման՝ գույնը գազարագույն /օռանժ/: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III-րդ եռամսյակ առնվազն 15000 հատ, IV-րդ եռամսյակ առնվազն 15000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III-րդ եռամսյակ առնվազն 50000 հատ, IV-րդ եռամսյակ առնվազն 50000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