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B0" w:rsidRDefault="00CD1DB0" w:rsidP="00CD1DB0">
      <w:pPr>
        <w:jc w:val="center"/>
        <w:rPr>
          <w:lang w:val="hy-AM"/>
        </w:rPr>
      </w:pPr>
      <w:r>
        <w:rPr>
          <w:rFonts w:ascii="Sylfaen" w:hAnsi="Sylfaen" w:cs="Sylfaen"/>
          <w:lang w:val="hy-AM"/>
        </w:rPr>
        <w:t>Ապրանքների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տեխնիկական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բնութագիր</w:t>
      </w:r>
    </w:p>
    <w:p w:rsidR="00CD1DB0" w:rsidRDefault="00CD1DB0" w:rsidP="00CD1DB0">
      <w:pPr>
        <w:jc w:val="center"/>
        <w:rPr>
          <w:rFonts w:ascii="Sylfaen" w:hAnsi="Sylfaen" w:cs="Sylfaen"/>
          <w:sz w:val="18"/>
          <w:szCs w:val="18"/>
          <w:lang w:val="hy-AM"/>
        </w:rPr>
      </w:pPr>
      <w:r>
        <w:rPr>
          <w:rFonts w:ascii="Sylfaen" w:hAnsi="Sylfaen" w:cs="Sylfaen"/>
          <w:lang w:val="hy-AM"/>
        </w:rPr>
        <w:t>Վանաձորի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համայնքապետարանի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կարիքների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սերվերային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ձեռքբերման</w:t>
      </w:r>
    </w:p>
    <w:tbl>
      <w:tblPr>
        <w:tblpPr w:leftFromText="180" w:rightFromText="180" w:bottomFromText="200" w:vertAnchor="text" w:horzAnchor="margin" w:tblpXSpec="center" w:tblpY="377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18"/>
        <w:gridCol w:w="10063"/>
        <w:gridCol w:w="1105"/>
        <w:gridCol w:w="963"/>
      </w:tblGrid>
      <w:tr w:rsidR="00CD1DB0" w:rsidTr="00CD1DB0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Չ/Հ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en-US" w:eastAsia="en-US"/>
              </w:rPr>
              <w:t>Անվանումը</w:t>
            </w: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en-US" w:eastAsia="en-US"/>
              </w:rPr>
              <w:t>Բնութագիրը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en-US" w:eastAsia="en-US"/>
              </w:rPr>
              <w:t>Չափման միավոր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sz w:val="18"/>
                <w:szCs w:val="18"/>
                <w:lang w:val="en-US" w:eastAsia="en-US"/>
              </w:rPr>
              <w:t>քանակ</w:t>
            </w:r>
          </w:p>
        </w:tc>
      </w:tr>
      <w:tr w:rsidR="00CD1DB0" w:rsidTr="00CD1DB0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 w:eastAsia="en-US"/>
              </w:rPr>
              <w:t>6</w:t>
            </w:r>
          </w:p>
        </w:tc>
      </w:tr>
      <w:tr w:rsidR="00CD1DB0" w:rsidTr="00D1000A">
        <w:trPr>
          <w:trHeight w:val="139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B0" w:rsidRDefault="00CD1DB0">
            <w:pPr>
              <w:spacing w:line="276" w:lineRule="auto"/>
              <w:rPr>
                <w:rFonts w:ascii="GHEA Grapalat" w:hAnsi="GHEA Grapalat"/>
                <w:sz w:val="28"/>
                <w:szCs w:val="28"/>
                <w:lang w:val="hy-AM" w:eastAsia="en-US"/>
              </w:rPr>
            </w:pPr>
            <w:r>
              <w:rPr>
                <w:rFonts w:ascii="GHEA Grapalat" w:hAnsi="GHEA Grapalat"/>
                <w:sz w:val="28"/>
                <w:szCs w:val="28"/>
                <w:lang w:val="hy-AM" w:eastAsia="en-US"/>
              </w:rPr>
              <w:t>սերվեր</w:t>
            </w:r>
          </w:p>
          <w:p w:rsidR="00CD1DB0" w:rsidRDefault="00CD1DB0">
            <w:pPr>
              <w:spacing w:line="276" w:lineRule="auto"/>
              <w:rPr>
                <w:rFonts w:ascii="GHEA Grapalat" w:hAnsi="GHEA Grapalat" w:cs="Calibri"/>
                <w:sz w:val="22"/>
                <w:szCs w:val="22"/>
                <w:highlight w:val="yellow"/>
                <w:lang w:val="hy-AM" w:eastAsia="en-US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Սերվերը պետք է բավարարի հետևյալ պահանջները.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Ունենա սեղանի վրա տեղադրման ձևաչափ (Tower Server), ինչպես նաև ստանդարտ սերվերային պահարանում տեղադրման հնարավորություն: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Շասսիի կոնֆիգուրացիան պետք է ներառի նվազագույնը 32 հատ 2.5” hot-swap SAS/SATA սկավառակներ (մինչև 24x NVMe SSD-ներ ընտրովի (optional)):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ներառի էլեկտրական ցանցին միանալու համար անհրաժեշտ լարերի փաթեթ: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ունենա սերվերի պատյանների կողպեքի հնարավորություն՝ դիմացի վահանակի մասում՝ սկավառակների մուտքը սահմանափակելու համար։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ունենա պատյանի բացման տվիչ՝ հեռակա ահազանգերի համակարգով: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ունենա 12 միջուկանի 2 պրոցեսոր, որը աշխատում է առնվազն 2,4 ԳՀց բազային հաճախականությամբ: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օժանդակի նվազագույնը 32 հիշողության մոդուլի տեղադրման հնարավորություն՝ նվազագույնը 4800 կամ 5600 ՄՀց հաճախականությամբ: Պետք է տեղադրված լինեն առնվազն 4 հատ հիշողության մոդուլներ՝ յուրաքանչյուրը առնվազն 64 ԳԲ: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Պետք է տեղադրված լինեն առնվազն 2 հատ 480GB SSD 2.5" RE SATA Hot Swap Data Center սկավառակ և 2 հատ 2.4TB HDD 2.5" 10K SAS 12Gb Hot Swap Data Center սկավառակ: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Պետք է տեղադրված լինի RAID-կոնտրոլեր՝ հետևյալ բնութագրերով.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RAID մակարդակներ՝ 0, 1, 10, 5; Pass-through/Non-RAID ռեժիմ; Gen3 PCIe 3.0 x8 (8 GT/s):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 առնվազն 2 LOM 1GbE պորտ: Ցանցային ադապտորը չպետք է զբաղեցնի PCIe- ի համար նախատեսված հավելյալ սլոտ: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Պետք է ունենա առնվազն 9 ընդլայնման սլոտեր՝ PCIe slots (5x PCIe Gen5 slots (three x16 slots and two x8 slots; 4x PCIe Gen4 slots (one x16 slots and three x8 slots), ունենա 12x onboard NVMe connectors (12 x Gen4), և առանցին M.2 adapter support):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 մինչև 4x ակտիվ DW կամ 8x SW GPU ադապտերների տեղադրման հնարավորություն։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ունենա.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Դիմացի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մասում հետ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և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յալ պորտերը՝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Մեկ USB 3.է (5 Գբ/վ) պորտ, Մեկ USB 2.0 պորտ (նաև սերվերի կառավարման համակարգին ուղիղ միանալու համար)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Հետևի մասում հետ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և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յալ պորտերը՝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Չորս USB 3.է G2 (5 Գբ/վ) պորտ, Մեկ VGA պորտ, Մեկ RJ-45 համակարգերի կառավարում պորտ, Երկու RJ-45 GbE ցանցի պորտ, Մեկ սերիական պորտ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Ներքին պորտ՝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Մեկ ներքին USB 3.0 պորտ RDX սկավառակի համար: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 Trusted Platform Module 2.0</w:t>
            </w:r>
            <w:r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ծածկագրման պրոցեսոր: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 առնվազն երկու էներգիայի բլոկ՝ յուրաքանչյուրը ոչ պակաս 1100Վտ Titanium Hot-Swap։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համատեղելի լինի հետևյալ օպերացիոն համակարգերի և վիրտուալ մեքենաների հետ.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Microsoft Windows Server 2019, 2022; Red Hat Enterprise Linux from V8.4 up to V9.5; SUSE Linux Enterprise Server 15 SP3, SP4, SP5, Xen SP3, Xen SP4, Xen SP5; Ubuntu 22.04 LTS 64-bit, 24.04 LTS 64-bit; VMware ESXi 7.0 U3, 8.0,8.0 U1, 8.0 U2, 8.0 U3: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Պետք է ունենա սարքավորումների և ծրագրային ապահովման համակարգ՝ հեռակա կառավարման և մոնիտորինգի համար: Կառավարման վահանակի հեռակա մուտք՝ Ինտելիգենտ Պլատֆորմի Կառավարման Ինտերֆեյս (IPMI) V2.0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Սովորական Ցանցի Կառավարման Պրոտոկոլ (SNMP) V3 (առանց SET հրամանների, առանց SNMP v1)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Տեղեկատվության Մոդել (CIM-XML)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Պատվիրիչ Դրամահավաքի փոխանցում (REST) աջակցություն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Redfish աջակցություն (DMTF համապատասխան)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Վեբ դիտարկիչ - HTML 5 վրա հիմնված դիտարկիչի ինտերֆեյս (Java և ActiveX չեն պահանջվում)՝ արձագանքող դիզայնով (բովանդակությունը օպտիմիզացված օգտագործվող սարքի համար՝ նոթբուք, պլանշետ, հեռախոս)՝ NLS աջակցությամբ:</w:t>
            </w: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CD1DB0" w:rsidRDefault="00CD1DB0" w:rsidP="00570DD0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Սերվերը պետք է լինի նոր, չօգտագործված, տուփով և իր գործարանային բոլոր փաստաթղթերով: Պետք է տրամադրվի առնվազն 3 տարվա երաշխիք:</w:t>
            </w:r>
          </w:p>
          <w:p w:rsidR="00CD1DB0" w:rsidRDefault="00CD1DB0" w:rsidP="00570DD0">
            <w:pPr>
              <w:pStyle w:val="a5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 w:eastAsia="en-US"/>
              </w:rPr>
              <w:lastRenderedPageBreak/>
              <w:t>հատ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1DB0" w:rsidRDefault="00CD1DB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1</w:t>
            </w:r>
          </w:p>
        </w:tc>
      </w:tr>
    </w:tbl>
    <w:p w:rsidR="00CD1DB0" w:rsidRDefault="00CD1DB0" w:rsidP="00CD1DB0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lastRenderedPageBreak/>
        <w:t>Երաշխիքային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ժամկետ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սահմանվում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է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ապրանքն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ընդունվելու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օրվան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հաջորդող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օրվանից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հաշված</w:t>
      </w:r>
      <w:r>
        <w:rPr>
          <w:rFonts w:ascii="GHEA Grapalat" w:hAnsi="GHEA Grapalat"/>
          <w:lang w:val="pt-BR"/>
        </w:rPr>
        <w:t xml:space="preserve"> 1095 </w:t>
      </w:r>
      <w:r>
        <w:rPr>
          <w:rFonts w:ascii="GHEA Grapalat" w:hAnsi="GHEA Grapalat"/>
        </w:rPr>
        <w:t>օրացուցային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օր։</w:t>
      </w:r>
    </w:p>
    <w:p w:rsidR="00CD1DB0" w:rsidRDefault="00CD1DB0" w:rsidP="00CD1DB0">
      <w:pPr>
        <w:jc w:val="both"/>
        <w:rPr>
          <w:rFonts w:ascii="GHEA Grapalat" w:hAnsi="GHEA Grapalat"/>
          <w:lang w:val="hy-AM" w:eastAsia="en-US"/>
        </w:rPr>
      </w:pPr>
      <w:r>
        <w:rPr>
          <w:rFonts w:ascii="GHEA Grapalat" w:hAnsi="GHEA Grapalat"/>
          <w:lang w:val="hy-AM"/>
        </w:rPr>
        <w:t>Պայմանագրի կատարման ժամկետ է սահմանվում պայմանագրի կնքման օրվանից հաշված 30 օրացուցային  օր:</w:t>
      </w:r>
    </w:p>
    <w:p w:rsidR="00CD1DB0" w:rsidRDefault="00CD1DB0" w:rsidP="00CD1DB0">
      <w:pPr>
        <w:pStyle w:val="a3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>Ապրանքների մատակարարումը,բեռնաթափումը իրականացնում է Մատակարարը:</w:t>
      </w:r>
    </w:p>
    <w:p w:rsidR="00CD1DB0" w:rsidRDefault="00CD1DB0" w:rsidP="00CD1DB0">
      <w:pPr>
        <w:pStyle w:val="a3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>Ապրանքները պետք է լինեն չօգտագործված:</w:t>
      </w:r>
    </w:p>
    <w:p w:rsidR="00CD1DB0" w:rsidRDefault="00CD1DB0" w:rsidP="00CD1DB0">
      <w:pPr>
        <w:jc w:val="both"/>
        <w:rPr>
          <w:rFonts w:ascii="GHEA Grapalat" w:hAnsi="GHEA Grapalat" w:cs="Arial"/>
          <w:lang w:val="pt-BR" w:eastAsia="en-US"/>
        </w:rPr>
      </w:pPr>
      <w:r>
        <w:rPr>
          <w:rFonts w:ascii="GHEA Grapalat" w:hAnsi="GHEA Grapalat" w:cs="Arial"/>
          <w:lang w:val="hy-AM"/>
        </w:rPr>
        <w:t>Պայմանագրի կատարման փուլում ա</w:t>
      </w:r>
      <w:r>
        <w:rPr>
          <w:rFonts w:ascii="GHEA Grapalat" w:hAnsi="GHEA Grapalat" w:cs="Arial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D1DB0" w:rsidRDefault="00CD1DB0" w:rsidP="00CD1DB0">
      <w:pPr>
        <w:pStyle w:val="a3"/>
        <w:jc w:val="both"/>
        <w:rPr>
          <w:rFonts w:ascii="GHEA Grapalat" w:hAnsi="GHEA Grapalat" w:cs="Sylfaen"/>
          <w:sz w:val="24"/>
          <w:szCs w:val="24"/>
          <w:lang w:val="pt-BR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D1DB0" w:rsidRDefault="00CD1DB0" w:rsidP="00CD1DB0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 w:cs="Sylfaen"/>
          <w:lang w:val="hy-AM"/>
        </w:rPr>
        <w:t>Մատակարարումը պետք է  իրականացվի ժամանակին,պատշաճ և որակով:</w:t>
      </w:r>
    </w:p>
    <w:p w:rsidR="003252C1" w:rsidRDefault="003252C1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296719" w:rsidRDefault="00296719">
      <w:pPr>
        <w:rPr>
          <w:lang w:val="pt-BR"/>
        </w:rPr>
      </w:pPr>
    </w:p>
    <w:p w:rsidR="00296719" w:rsidRDefault="00296719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>
      <w:pPr>
        <w:rPr>
          <w:lang w:val="pt-BR"/>
        </w:rPr>
      </w:pPr>
    </w:p>
    <w:p w:rsidR="00D1000A" w:rsidRDefault="00D1000A" w:rsidP="00D1000A">
      <w:pPr>
        <w:jc w:val="center"/>
      </w:pPr>
      <w:r>
        <w:rPr>
          <w:lang w:val="hy-AM"/>
        </w:rPr>
        <w:lastRenderedPageBreak/>
        <w:t>Техническ</w:t>
      </w:r>
      <w:r>
        <w:t>ие</w:t>
      </w:r>
      <w:r>
        <w:rPr>
          <w:lang w:val="hy-AM"/>
        </w:rPr>
        <w:t xml:space="preserve"> характеристик</w:t>
      </w:r>
      <w:r>
        <w:t>и</w:t>
      </w:r>
      <w:r>
        <w:rPr>
          <w:lang w:val="hy-AM"/>
        </w:rPr>
        <w:t xml:space="preserve"> продуктов</w:t>
      </w:r>
    </w:p>
    <w:p w:rsidR="00D1000A" w:rsidRDefault="00D1000A" w:rsidP="00D1000A">
      <w:pPr>
        <w:jc w:val="center"/>
        <w:rPr>
          <w:rFonts w:ascii="Sylfaen" w:hAnsi="Sylfaen" w:cs="Sylfaen"/>
          <w:sz w:val="18"/>
          <w:szCs w:val="18"/>
          <w:lang w:val="hy-AM"/>
        </w:rPr>
      </w:pPr>
      <w:r>
        <w:rPr>
          <w:lang w:val="hy-AM"/>
        </w:rPr>
        <w:t>Приобретение серверной системы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4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18"/>
        <w:gridCol w:w="10063"/>
        <w:gridCol w:w="964"/>
        <w:gridCol w:w="1247"/>
      </w:tblGrid>
      <w:tr w:rsidR="00296719" w:rsidTr="00296719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  <w:r>
              <w:rPr>
                <w:lang w:val="hy-AM" w:eastAsia="en-US"/>
              </w:rPr>
              <w:t>Наименование</w:t>
            </w: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Описание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19" w:rsidRDefault="00296719" w:rsidP="00296719">
            <w:pPr>
              <w:pStyle w:val="a5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Ед. Изм.</w:t>
            </w:r>
          </w:p>
          <w:p w:rsidR="00296719" w:rsidRDefault="00296719" w:rsidP="00296719">
            <w:pPr>
              <w:spacing w:line="276" w:lineRule="auto"/>
              <w:jc w:val="center"/>
              <w:rPr>
                <w:rFonts w:ascii="Sylfaen" w:hAnsi="Sylfaen"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19" w:rsidRDefault="00296719">
            <w:pPr>
              <w:spacing w:line="276" w:lineRule="auto"/>
              <w:rPr>
                <w:rFonts w:ascii="Sylfaen" w:hAnsi="Sylfaen"/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Количество</w:t>
            </w:r>
          </w:p>
        </w:tc>
      </w:tr>
      <w:tr w:rsidR="00296719" w:rsidTr="00296719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hy-AM"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Sylfaen" w:hAnsi="Sylfaen"/>
                <w:b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 w:eastAsia="en-US"/>
              </w:rPr>
              <w:t>6</w:t>
            </w:r>
          </w:p>
        </w:tc>
      </w:tr>
      <w:tr w:rsidR="00296719" w:rsidTr="00296719">
        <w:trPr>
          <w:trHeight w:val="28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rPr>
                <w:rFonts w:ascii="GHEA Grapalat" w:hAnsi="GHEA Grapalat" w:cs="Calibri"/>
                <w:sz w:val="22"/>
                <w:szCs w:val="22"/>
                <w:highlight w:val="yellow"/>
                <w:lang w:val="hy-AM" w:eastAsia="en-US"/>
              </w:rPr>
            </w:pPr>
            <w:r>
              <w:rPr>
                <w:rFonts w:ascii="GHEA Grapalat" w:hAnsi="GHEA Grapalat"/>
                <w:sz w:val="28"/>
                <w:szCs w:val="28"/>
                <w:lang w:val="hy-AM" w:eastAsia="en-US"/>
              </w:rPr>
              <w:t>сервер</w:t>
            </w: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Сервер должен соответствовать следующим требованиям .</w:t>
            </w: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Иметь формат размещения на рабочем столе (Server Tower), а также возможность размещения в стандартном серверном шкафу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Конфигурация корпуса должна включать не менее 32 2,5-дюймовых дисков SAS/SATA с возможностью горячей замены (опционально до 24 твердотельных накопителей NVMe (опционально)).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Должен включать в себя комплект проводов, необходимый для подключения к электросети.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Должен иметь возможность блокировки корпуса сервера на передней панели, чтобы ограничить доступ к дискам.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Должен иметь датчик открывания корпуса с дистанционной системой сигнализации.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Необходимо иметь 2 12-ядерных процессора, работающих на базовой частоте не менее 2,4 ГГц.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Должен поддерживать возможность установки не менее 32 модулей памяти с частотой не менее 4800 или 5600 МГц. должно быть установлено не менее 4 модулей памяти объемом не менее 64 ГБ каждый.</w:t>
            </w: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Необходимо установить не менее 2 твердотельных накопителей SSD 2,5" RE SATA Hot Swap Data Center емкостью 480 ГБ и 2 жестких диска HDD 2,5" 10K SAS 12 Гбит Hot Swap Data Center емкостью 2,4 ТБ.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Необходимо установить RAID-контроллер со следующими характеристиками: уровни RAID: 0, 1, 10, 5; режим Pass-through/Non-RAID; Gen3 PCIe 3.0 x8 (8 ГТ/с).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Необходимо иметь не менее 2 портов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LOM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1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GbE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. Сетевой адаптер не должен занимать дополнительный слот, предназначенный для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PCIe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proofErr w:type="gramStart"/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lastRenderedPageBreak/>
              <w:t xml:space="preserve">Необходимо иметь не менее 9 слотов расширения: слоты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PCIe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(5 слотов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PCIe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Gen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5 (три слота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16 и два слота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8; 4 слота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PCIe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Gen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4 (один слот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16 и три слота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8), иметь 12 встроенных разъемов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NVMe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(12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Gen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4) и иметь поддержку адаптера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M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.2).</w:t>
            </w:r>
            <w:proofErr w:type="gramEnd"/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Должна быть возможность установки до 4 </w:t>
            </w:r>
            <w:proofErr w:type="gramStart"/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активных</w:t>
            </w:r>
            <w:proofErr w:type="gramEnd"/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DW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или 8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SW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GPU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-адаптеров.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Должен иметь: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Следующие порты на передней панели: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Один порт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USB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3.0 (5 Гбит/с), один порт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USB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2.0 (также для прямого подключения к системе управления сервером)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Следующие порты на задней панели: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Четыре порта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USB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3.0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2 (5 Гбит/с), один порт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VGA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, один порт управления системой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RJ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-45, два сетевых порта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RJ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-45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GbE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, один последовательный порт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Внутренний порт: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Один внутренний порт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USB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3.0 для накопителя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RDX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Необходимо наличие процессора шифрования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Trusted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Platform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Module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2.0.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Необходимо иметь не менее двух блоков питания мощностью не менее 1100 Вт каждый с возможностью горячей замены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Titanium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Должен быть совместим со следующими операционными системами и виртуальными машинами: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Microsoft Windows Server 2019, 2022; Red Hat Enterprise Linux from V8.4 up to V9.5; SUSE Linux Enterprise Server 15 SP3, SP4, SP5, Xen SP3, Xen SP4, Xen SP5; Ubuntu 22.04 LTS 64-bit, 24.04 LTS 64-bit; VMware ESXi 7.0 U3, 8.0,8.0 U1, 8.0 U2, 8.0 U3:</w:t>
            </w:r>
          </w:p>
          <w:p w:rsidR="00296719" w:rsidRDefault="00296719" w:rsidP="00344524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Необходимо наличие аппаратного и программного обеспечения для удалённого управления и мониторинга. Удалённый доступ к панели управления: интеллектуальный интерфейс управления платформой (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IPMI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V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2.0.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Простой протокол сетевого управления (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SNMP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V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3 (без команд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SET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, без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SNMP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v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1)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Общая информационная модель (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CIM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-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XML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)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lastRenderedPageBreak/>
              <w:t>Поддержка перевода средств по запросу (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REST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) 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Поддержка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Redfish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(совместимая с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DMTF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)</w:t>
            </w: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</w:p>
          <w:p w:rsidR="00296719" w:rsidRPr="00D1000A" w:rsidRDefault="00296719" w:rsidP="00344524">
            <w:pPr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Веб-браузер - интерфейс браузера на основе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HTML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5 (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Java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ActiveX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не требуются) с адаптивным дизайном (контент оптимизирован для используемого устройства: ноутбука, планшета, телефона) с поддержкой </w:t>
            </w: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NLS</w:t>
            </w:r>
            <w:r w:rsidRPr="00D1000A">
              <w:rPr>
                <w:rFonts w:ascii="GHEA Grapalat" w:hAnsi="GHEA Grapalat"/>
                <w:sz w:val="22"/>
                <w:szCs w:val="22"/>
                <w:lang w:eastAsia="en-US"/>
              </w:rPr>
              <w:t>.</w:t>
            </w:r>
          </w:p>
          <w:p w:rsidR="00296719" w:rsidRDefault="00296719" w:rsidP="00344524">
            <w:pPr>
              <w:pStyle w:val="a5"/>
              <w:rPr>
                <w:rFonts w:ascii="GHEA Grapalat" w:hAnsi="GHEA Grapalat" w:cs="Calibri"/>
                <w:lang w:val="en-US"/>
              </w:rPr>
            </w:pPr>
            <w:r w:rsidRPr="00D1000A">
              <w:rPr>
                <w:rFonts w:ascii="GHEA Grapalat" w:eastAsia="Times New Roman" w:hAnsi="GHEA Grapalat" w:cs="Times New Roman"/>
                <w:lang w:eastAsia="ru-RU"/>
              </w:rPr>
              <w:t xml:space="preserve">Сервер должен быть новым, неиспользованным, в коробке и со всей заводской документацией. </w:t>
            </w:r>
            <w:proofErr w:type="gramStart"/>
            <w:r>
              <w:rPr>
                <w:rFonts w:ascii="GHEA Grapalat" w:eastAsia="Times New Roman" w:hAnsi="GHEA Grapalat" w:cs="Times New Roman"/>
                <w:lang w:val="en-US" w:eastAsia="ru-RU"/>
              </w:rPr>
              <w:t>До</w:t>
            </w:r>
            <w:bookmarkStart w:id="0" w:name="_GoBack"/>
            <w:bookmarkEnd w:id="0"/>
            <w:r>
              <w:rPr>
                <w:rFonts w:ascii="GHEA Grapalat" w:eastAsia="Times New Roman" w:hAnsi="GHEA Grapalat" w:cs="Times New Roman"/>
                <w:lang w:val="en-US" w:eastAsia="ru-RU"/>
              </w:rPr>
              <w:t>лжна  быть</w:t>
            </w:r>
            <w:proofErr w:type="gramEnd"/>
            <w:r>
              <w:rPr>
                <w:rFonts w:ascii="GHEA Grapalat" w:eastAsia="Times New Roman" w:hAnsi="GHEA Grapalat" w:cs="Times New Roman"/>
                <w:lang w:val="en-US" w:eastAsia="ru-RU"/>
              </w:rPr>
              <w:t xml:space="preserve"> предоставлена гарантия не менее 3 лет.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 w:eastAsia="en-US"/>
              </w:rPr>
              <w:lastRenderedPageBreak/>
              <w:t>шт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6719" w:rsidRDefault="00296719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1</w:t>
            </w:r>
          </w:p>
        </w:tc>
      </w:tr>
    </w:tbl>
    <w:p w:rsidR="00D1000A" w:rsidRDefault="00D1000A" w:rsidP="00D1000A">
      <w:pPr>
        <w:rPr>
          <w:rFonts w:ascii="GHEA Grapalat" w:hAnsi="GHEA Grapalat"/>
        </w:rPr>
      </w:pPr>
      <w:r>
        <w:rPr>
          <w:rFonts w:ascii="GHEA Grapalat" w:hAnsi="GHEA Grapalat"/>
        </w:rPr>
        <w:lastRenderedPageBreak/>
        <w:tab/>
      </w:r>
    </w:p>
    <w:p w:rsidR="00D1000A" w:rsidRDefault="00D1000A" w:rsidP="00D1000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Гарантийный срок устанавливается на 1095 календарных дней, считая со следующего дня приема товара.</w:t>
      </w:r>
    </w:p>
    <w:p w:rsidR="00D1000A" w:rsidRDefault="00D1000A" w:rsidP="00D1000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Срок исполнения контракта устанавливается в течение 30 календарных дней со дня подписания контракта.</w:t>
      </w:r>
    </w:p>
    <w:p w:rsidR="00D1000A" w:rsidRDefault="00D1000A" w:rsidP="00D1000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Поставка,разгрузка товаров осуществляется поставщиком.</w:t>
      </w:r>
    </w:p>
    <w:p w:rsidR="00D1000A" w:rsidRDefault="00D1000A" w:rsidP="00D1000A">
      <w:pPr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Продукты должны быть неиспользованными.</w:t>
      </w:r>
    </w:p>
    <w:p w:rsidR="00D1000A" w:rsidRDefault="00D1000A" w:rsidP="00D1000A">
      <w:pPr>
        <w:pStyle w:val="a3"/>
        <w:jc w:val="both"/>
        <w:rPr>
          <w:rFonts w:ascii="GHEA Grapalat" w:hAnsi="GHEA Grapalat" w:cs="Arial"/>
          <w:sz w:val="24"/>
          <w:szCs w:val="24"/>
          <w:lang w:val="ru-RU"/>
        </w:rPr>
      </w:pPr>
      <w:r>
        <w:rPr>
          <w:rFonts w:ascii="GHEA Grapalat" w:hAnsi="GHEA Grapalat" w:cs="Arial"/>
          <w:sz w:val="24"/>
          <w:szCs w:val="24"/>
          <w:lang w:val="hy-AM"/>
        </w:rPr>
        <w:t>На этапе исполнения контракта также необходимо предоставить гарантийное письмо или сертификат соответствия от производителя или его представителя.</w:t>
      </w:r>
    </w:p>
    <w:p w:rsidR="00D1000A" w:rsidRDefault="00D1000A" w:rsidP="00D1000A">
      <w:pPr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Пример продукта до поставки поставщик должен согласовать с заказчиком.</w:t>
      </w:r>
    </w:p>
    <w:p w:rsidR="00D1000A" w:rsidRDefault="00D1000A" w:rsidP="00D1000A">
      <w:pPr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lang w:val="hy-AM" w:eastAsia="en-US"/>
        </w:rPr>
        <w:t>Поставка должна осуществляться своевременно, надлежащим образом и качественно.</w:t>
      </w:r>
    </w:p>
    <w:p w:rsidR="00D1000A" w:rsidRDefault="00D1000A" w:rsidP="00D1000A">
      <w:pPr>
        <w:rPr>
          <w:rFonts w:ascii="GHEA Grapalat" w:hAnsi="GHEA Grapalat" w:cs="Sylfaen"/>
          <w:sz w:val="18"/>
          <w:szCs w:val="18"/>
          <w:lang w:val="hy-AM"/>
        </w:rPr>
      </w:pPr>
    </w:p>
    <w:p w:rsidR="00D1000A" w:rsidRPr="00D1000A" w:rsidRDefault="00D1000A">
      <w:pPr>
        <w:rPr>
          <w:lang w:val="hy-AM"/>
        </w:rPr>
      </w:pPr>
    </w:p>
    <w:sectPr w:rsidR="00D1000A" w:rsidRPr="00D1000A" w:rsidSect="0090381D">
      <w:pgSz w:w="16838" w:h="11906" w:orient="landscape"/>
      <w:pgMar w:top="426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AE"/>
    <w:rsid w:val="00296719"/>
    <w:rsid w:val="003179AE"/>
    <w:rsid w:val="003252C1"/>
    <w:rsid w:val="00344524"/>
    <w:rsid w:val="00570DD0"/>
    <w:rsid w:val="0090381D"/>
    <w:rsid w:val="00CD1DB0"/>
    <w:rsid w:val="00D1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D1DB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D1D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D1D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D1DB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D1D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D1D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10</cp:revision>
  <dcterms:created xsi:type="dcterms:W3CDTF">2025-07-14T12:24:00Z</dcterms:created>
  <dcterms:modified xsi:type="dcterms:W3CDTF">2025-07-17T06:11:00Z</dcterms:modified>
</cp:coreProperties>
</file>