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металлопластиковых окон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металлопластиковых окон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металлопластиковых окон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металлопластиковых окон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ՏՄՆՀՀ-ԷԱՃԱՊՁԲ25/11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ՏՄՆՀՀ-ԷԱՃԱՊՁԲ25/11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Резка и обработка профилей должны осуществляться на станках европейского производства с цифровым управлением и автоматическим управлением. 2. Сварку углов следует выполнять с помощью аппарата европейского производства. 3. Аксессуары (труба, ручка, клапан и т. д.) должны быть европейского производства или эквивалентными. 4. Остекление должно быть 4+4, толщиной 20 мм. Стекла должны быть изготовлены из флоат-стекла высокой чистоты, европейского производства или эквивалентного ему. 5. Профили ПВХ должны быть 3-х камерными, монтажной толщиной 60 мм, армированными металлическими оцинкованными профилями толщиной 1-1,2 мм, армянского производства или эквивалентными. Цвет профиля должен быть коричневым (золотой дуб). В случае возникновения вопросов обращайтесь к клиенту.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