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ՍԳԼ-էԱՃԱՊՁԲ-25/39</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для приобретения лекарств для нужд ЗАО "СУРБ ГРИГОРИЙ ЛУСАВОРИЧ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внутривенного введения 6 мг/мл; стеклянный флакон 150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раствор для внутривенного введения 100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концентрат для приготовления раствора для внутривенного введения 2 мг/мл; стеклянный флакон 25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лиофилизированный порошок для приготовления раствора для внутривенного введения или концентрат для приготовления раствора для внутривенного введения 200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100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концентрат для приготовления раствора для инфузий 50 мг.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концентрат для приготовления раствора для инфузий 5000 мг, стеклянный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100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лиофилизированный порошок для приготовления раствора для инъекций 500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 мг/мл; стеклянный флакон 45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10 мг/мл; стеклянный флакон 60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200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500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порошок для внутривенного введения 1000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порошок для инъекций или раствор для инфузий 200 мг; стеклянный флакон.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этопозида для приготовления раствора для инфузий 20 мг/мл - 5 мл. Сроки годности лекарственных средств на момент передачи покупателю должны соответствовать следующим требованиям:
а. Лекарственные средства с общим сроком годности более 2,5 лет на момент передачи должны иметь остаточный срок годности не менее 24 месяцев,
б. Лекарственные средства с общим сроком годности до 2,5 лет на момент передачи должны иметь остаточный срок годности не менее 12 месяцев.
При поставке каждой партии обязательным условием является соблюдение требований подпунктов 2.1 и 2.2 пункта 2 постановления Правительства Республики Армения № 502-Ն, действующего на момент поставки соответствующей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Гюрджяна,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 для первого этапа — в течение 20 календарных дней с момента получения заказа Покупателя, — для последующих этапов поставки — в течение 3 рабочих дней с момента получения заказа Покупателя.  Крайний срок поставки не может превышать 25 декабря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(доксорубицина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5000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Даунорубицин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Цитарабин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Дакарбазин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