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ՀՀԳՄՎՀ-ԷԱՃԱՊՁԲ-25/41</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4.9087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кг/м3. Массовая доля полициклических ароматических углеводородов не более 11%. Содержание серы не более 10 мг/кг. Температура вспышки не ниже 55°C. Коксуемость в 10% осадке не более 0,3%. Вязкость при 400°C от 2,0 до 4,5 мм2/с. Температура помутнения не выше 5°C. Отпускается по талонам (действительно только при покупке в литрах). Безопасность, маркировка и упаковка соответствуют Постановлению Правительства РА от 2004 года № 1592-Н «Технический регламент на топлива для двигателей внутреннего сгорания», утвержденному Постановлением Правительства РА от 11 ноября 2011 года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до 25 декабря 2025 года. Максимальные объёмы поставки указаны в приглашении. После истечения срока исполнения договора договор расторгается в отношении невыполненного объёма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