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ԱԱԻ-ԷԱՃԱՊՁԲ-25/34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ԱԿԱԴԵՄԻԿՈՍ Ս.ԱՎԴԱԼԲԵԿՅԱՆԻ ԱՆՎԱՆ ԱՌՈՂՋԱՊԱՀՈՒԹՅԱՆ ԱԶԳԱՅԻՆ ԻՆՍՏԻՏՈՒՏ</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Կոմիտասի 49/4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Ակադեմիկոս Ս.Ավդալբեկյանի անվան առողջապահության ազգային ինստիտուտ ՓԲԸ-ի կարիքների համար դյուրակիր համակարգիչների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Ղուբասարյան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099235350,  091543075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tender@nih.am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ԱԿԱԴԵՄԻԿՈՍ Ս.ԱՎԴԱԼԲԵԿՅԱՆԻ ԱՆՎԱՆ ԱՌՈՂՋԱՊԱՀՈՒԹՅԱՆ ԱԶԳԱՅԻՆ ԻՆՍՏԻՏՈՒՏ</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ԱԱԻ-ԷԱՃԱՊՁԲ-25/34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ԱԿԱԴԵՄԻԿՈՍ Ս.ԱՎԴԱԼԲԵԿՅԱՆԻ ԱՆՎԱՆ ԱՌՈՂՋԱՊԱՀՈՒԹՅԱՆ ԱԶԳԱՅԻՆ ԻՆՍՏԻՏՈՒՏ</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ԱԿԱԴԵՄԻԿՈՍ Ս.ԱՎԴԱԼԲԵԿՅԱՆԻ ԱՆՎԱՆ ԱՌՈՂՋԱՊԱՀՈՒԹՅԱՆ ԱԶԳԱՅԻՆ ԻՆՍՏԻՏՈՒՏ</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Ակադեմիկոս Ս.Ավդալբեկյանի անվան առողջապահության ազգային ինստիտուտ ՓԲԸ-ի կարիքների համար դյուրակիր համակարգիչների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ԱԿԱԴԵՄԻԿՈՍ Ս.ԱՎԴԱԼԲԵԿՅԱՆԻ ԱՆՎԱՆ ԱՌՈՂՋԱՊԱՀՈՒԹՅԱՆ ԱԶԳԱՅԻՆ ԻՆՍՏԻՏՈՒՏ</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Ակադեմիկոս Ս.Ավդալբեկյանի անվան առողջապահության ազգային ինստիտուտ ՓԲԸ-ի կարիքների համար դյուրակիր համակարգիչների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ԱԱԻ-ԷԱՃԱՊՁԲ-25/34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tender@nih.am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Ակադեմիկոս Ս.Ավդալբեկյանի անվան առողջապահության ազգային ինստիտուտ ՓԲԸ-ի կարիքների համար դյուրակիր համակարգիչների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2025.08.05.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ԱԿԱԴԵՄԻԿՈՍ Ս.ԱՎԴԱԼԲԵԿՅԱՆԻ ԱՆՎԱՆ ԱՌՈՂՋԱՊԱՀՈՒԹՅԱՆ ԱԶԳԱՅԻՆ ԻՆՍՏԻՏՈՒՏ</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ԱՆ ԱԱԻ-ԷԱՃԱՊՁԲ-25/34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ԱՆ ԱԱԻ-ԷԱՃԱՊՁԲ-25/34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ԱԱԻ-ԷԱՃԱՊՁԲ-25/34»*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ԱԱԻ-ԷԱՃԱՊՁԲ-25/34*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ԱԱԻ-ԷԱՃԱՊՁԲ-25/34»*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ԱԱԻ-ԷԱՃԱՊՁԲ-25/34*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ԱՆ ԱԿԱԴԵՄԻԿՈՍ Ս․ԱՎԴԼԲԵԿՅԱՆԻ ԱՆՎԱՆ ԱՌՈՂՋԱՊԱՀՈՒԹՅԱՆ ԱԶԳԱՅԻՆ ԻՆՍՏԻՏՈՒՏ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730-րդ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Նոթբուք HP ProBook 450 G10-ի կամ համարժեք
Անկյունագիծ` 15.6 " / IPS Կետայնություն` 1920 x 1080 / Պրոցեսոր` ոչ պակաս քան 13-րդ սերունդ / Պրոցեսորի cache հիշողություն` նվազագույնը 12ՄԲ Intel Smart Cache / Ընդհանուր միջուկների քանակը՝ նվազագույնը 10 միջուկ, հոսքերի քանակ՝ առնվազն 12/ Առավելագույն տակտային հաճախականություն` նվազագույնը 4․6 ԳՀց / Օպերատիվ հիշողություն` նվազագույնը 16GB DDR4 / SSD կուտակիչ` 512GB M.2 NVMe PCIe SSD / Տեսաքարտ` Intel Iris Xᶱ Graphics / Օպտիկական սկավառակակիր` Ոչ / նվազագույնը Wi-Fi 6E, 802.11ax / Անլար հաղորդակցություն` նվազագույնը Bluetooth 5․3 / Վեբ տեսախցիկ` նվազագույնը 720p HD / Մուտքեր և ելքեր՝ 2 հատ USB Type-A 5Gbps, 1 հատ HDMI 2.1, 1 հատ ականջակալի և մոկրոֆոնի combo մուտք, 1 հատ RJ-45, 2 հատ USB Type-C 10Gbps (USB Power Delivery, DisplayPort 2.1), Մարտկոցը 3 բջիջ՝ 51Վտ/ժ / Մատնահետքի սենսոր / Ստեղնաշարը՝ լուսավորվող (backlit) / Քաշ` առավելագույնը 1.79 կգ /:
 Օպերացիոն համակարգը՝ արտտոնագրված Windows 11 Pro/  
Ապրանքները պետք է լինեն նոր` չօգտագործված: Ապրանքների համար երաշխիքային ժամկետ սահմանել առնվազն 2 տարի՝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առնվազն 2 սերվիս կենտրոններում: Նշված ապրանքի համար մատակարար ընկերությունը պարտավոր է ներկայացնել արտադրողի  (MAF - Manufacturer's Authorization Form) կամ նրա կողմից Հայաստանի Հանրապետությունում լիազորված կազմակերպության (DAF - Distributer's Authorization Form) անունից նամակ-լիազորագիր։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