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ԿԾԿԾԻԳ-ԷԱՃԱՊՁԲ-25/14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և գիտության նախարարության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գրատախտակի ձեռքբերման նպատակով ԿԾԿԾԻԳ-ԷԱՃԱՊՁԲ-25/14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և գիտության նախարարության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ԿԾԿԾԻԳ-ԷԱՃԱՊՁԲ-25/14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և գիտության նախարարության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և գիտության նախարարության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գրատախտակի ձեռքբերման նպատակով ԿԾԿԾԻԳ-ԷԱՃԱՊՁԲ-25/14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և գիտության նախարարության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գրատախտակի ձեռքբերման նպատակով ԿԾԿԾԻԳ-ԷԱՃԱՊՁԲ-25/14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ԿԾԿԾԻԳ-ԷԱՃԱՊՁԲ-25/14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գրատախտակի ձեռքբերման նպատակով ԿԾԿԾԻԳ-ԷԱՃԱՊՁԲ-25/14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և գիտության նախարարության Կրթական ծրագրերի կենտրոն ԾԻԳ ՊՀ</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ԿԾԿԾԻԳ-ԷԱՃԱՊՁԲ-25/14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ԿԾԿԾԻԳ-ԷԱՃԱՊՁԲ-25/14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«ԿԾԿԾԻԳ-ԷԱՃԱՊՁԲ-25/14»*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և գիտության նախարարության Կրթական ծրագրերի կենտրոն ԾԻԳ ՊՀ*  (այսուհետ` Պատվիրատու) կողմից կազմակերպված` ԿԾԿԾԻԳ-ԷԱՃԱՊՁԲ-25/14*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և գիտության նախարարության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- 900001044172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«ԿԾԿԾԻԳ-ԷԱՃԱՊՁԲ-25/14»*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և գիտության նախարարության Կրթական ծրագրերի կենտրոն ԾԻԳ ՊՀ*  (այսուհետ` Պատվիրատու) կողմից կազմակերպված` ԿԾԿԾԻԳ-ԷԱՃԱՊՁԲ-25/14*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և գիտության նախարարության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- 900001044172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«ԿԾԿԾԻԳ-ԷԱՃԱՊՁԲ-25/14»*  ծածկագրով</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1.Սույն երաշխիքը (այսուհետ՝ երաշխիք) հանդիսանում է ՀՀ կրթության և գիտության նախարարության Կրթական ծրագրերի կենտրոն ԾԻԳ ՊՀ</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(այսուհետ՝ բենեֆիցիար) և ________________________________(այսուհետ՝ պրինցիպալ) միջև</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կնքվելիք պայմանագրի համարը</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երաշխիքը տվող բանկի անվանումը</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ներկայացված պահանջով (այսուհետ՝ պահանջ) բենեֆիցիարին վճարել_________________________________</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գումարը թվերով և տառերով</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կատարվում է բենեֆիցիարի_________________________________հաշվեհամարին փոխանցման միջոցով:</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www.procurement.am</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հասցով գործող տեղեկագրում հրապարակած ծանուցումը:</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ամիսը, ամսաթիվը, տարեթիվը</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ԿԳՄՍՆ «ԿՐԹԱԿԱՆ ԾՐԱԳՐԵՐԻ ԿԵՆՏՐՈՆ» ԾԻԳ ՊՀ-Ի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ներկայացվող հավելվածի Հավելված 2-ով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