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ԱՄՄՀ-ԷԱՃԱՊՁԲ-25/113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ենթակայությամբ գործող համայնքային ոչ առևտրային կազմակերպությունների (մանկապարտեզների) 2025թ. կարիքների համար  ««Սննդամթերքի&gt;&gt;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masismer.gnumner@mail.ru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ԱՄՄՀ-ԷԱՃԱՊՁԲ-25/113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ենթակայությամբ գործող համայնքային ոչ առևտրային կազմակերպությունների (մանկապարտեզների) 2025թ. կարիքների համար  ««Սննդամթերքի&gt;&gt;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ենթակայությամբ գործող համայնքային ոչ առևտրային կազմակերպությունների (մանկապարտեզների) 2025թ. կարիքների համար  ««Սննդամթերքի&gt;&gt;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ԱՄՄՀ-ԷԱՃԱՊՁԲ-25/113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masismer.gnumner@mail.ru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ենթակայությամբ գործող համայնքային ոչ առևտրային կազմակերպությունների (մանկապարտեզների) 2025թ. կարիքների համար  ««Սննդամթերքի&gt;&gt;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ԱՄՄՀ-ԷԱՃԱՊՁԲ-25/113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ԱՄՄՀ-ԷԱՃԱՊՁԲ-25/113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«ԱՄՄՀ-ԷԱՃԱՊՁԲ-25/113»*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ԱՄՄՀ-ԷԱՃԱՊՁԲ-25/113*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«ԱՄՄՀ-ԷԱՃԱՊՁԲ-25/113»*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ԱՄՄՀ-ԷԱՃԱՊՁԲ-25/113*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ընտիր տեսակի,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գլուխ կաղամբ, վաղահաս, միջահաս կամ ուշահաս՝ կախված սեզոնայնությունից, ընտիր տեսակների: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թարմ, պտղաբանական II խմբի, առանց վնասվածքների։ Անվտանգությունն ըստ «Սննդամթերքի անվտանգության մասին» ՀՀ օրենքի և այլ նորմատիվ իրավական ակտերի և կանոնակարգերի պահանջների: Ըստ սեզոնի՝ հոկտեմբերից–դեկտեմբեր: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պտղաբանական I խմբի,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թարմ, պտղաբանական I խմբի, առանց վնասվածքների: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հուլիսից-նոյեմբեր: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մաքուր, առողջ, չթոռոմած, գյուղատնտեսական վնասատուներից չվնասված: Անվտանգությունն ըստ «Սննդամթերքի անվտանգության մասին» ՀՀ օրենքի և այլ նորմատիվ իրավական ակտերի և կանոնակարգերի պահանջների: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թարմ, անվնաս, առողջ և հյութալի, պտղաբանական I խմբի: Անվտանգությունն ըստ «Սննդամթերքի անվտանգության մասին» ՀՀ օրենքի և այլ նորմատիվ իրավական ակտերի և կանոնակարգերի պահանջների: Ըստ սեզոնի՝ օգոստոսից-հոկտեմբեր: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հասցեները կից ներկայացվում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