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Արձանագրությ</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էլեկտրական պարագաների ձեռքբերման նպատակով ԲՏԱՆ-ԷԱՃԱՊՁԲ-2025/12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Արձանագրությ</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էլեկտրական պարագաների ձեռքբերման նպատակով ԲՏԱՆ-ԷԱՃԱՊՁԲ-2025/12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էլեկտրական պարագաների ձեռքբերման նպատակով ԲՏԱՆ-ԷԱՃԱՊՁԲ-2025/12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էլեկտրական պարագաների ձեռքբերման նպատակով ԲՏԱՆ-ԷԱՃԱՊՁԲ-2025/12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1-11 չափաբաժինների համար 365, իսկ 12-րդ չափաբաժնի համար 730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