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по процедуре электронного аукциона по коду HHTKEN-J-EACAPDzB-25/33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HHTKEN-J-EACAPDzB-25/33</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по процедуре электронного аукциона по коду HHTKEN-J-EACAPDzB-25/33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по процедуре электронного аукциона по коду HHTKEN-J-EACAPDzB-25/33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по процедуре электронного аукциона по коду HHTKEN-J-EACAPDzB-25/33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 блок питания не менее 450 Вт, процессор – i3 не менее 14-го поколения - 4 ГГц, ОЗУ 16 ГБ/ SSD 512 ГБ, поддержка Windows 11, клавиатура,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 процессор i3 не ниже 13-го поколения - 4 ГГц, ОЗУ 8 ГБ/SSD 256 ГБ и более, поддержка Windows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лазерный, 40 стр./мин, АПД, двусторонняя печать, совместимость с операционными системами Windows 10, 11 Professional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 размер экрана не менее 27’’, 1920 x 1080 FHD, (HDMA) с кабелем HDMA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4 пары, CAT5e, с усиливающей перемычкой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(коммутатор 2 уровня), не менее 16 портов RJ45, 100BESE-T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