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^f_dec_d_ru^</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^f_dec_n^</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^pr:t_ru^</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^pr:adress_ru^</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^tnd_t_ru^</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^end_bid_hour^</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 xml:space="preserve">^end_bid_day^ </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^end_bid_hour^</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^end_bid_day^</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^pr:name_ru^</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^sec_email_ru^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^pr:phone_ru^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^pr:t_ru^</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^tender:code_ru^</w:t>
      </w:r>
      <w:r w:rsidRPr="00F32D53">
        <w:rPr>
          <w:rFonts w:ascii="Calibri" w:hAnsi="Calibri" w:cstheme="minorHAnsi"/>
          <w:i/>
        </w:rPr>
        <w:br/>
      </w:r>
      <w:r w:rsidRPr="00F32D53">
        <w:rPr>
          <w:rFonts w:ascii="Calibri" w:hAnsi="Calibri" w:cstheme="minorHAnsi"/>
          <w:szCs w:val="20"/>
          <w:lang w:val="af-ZA"/>
        </w:rPr>
        <w:t>^f_dec_d_ru^</w:t>
      </w:r>
      <w:r w:rsidRPr="00F32D53">
        <w:rPr>
          <w:rFonts w:ascii="Calibri" w:hAnsi="Calibri" w:cstheme="minorHAnsi"/>
          <w:i/>
          <w:szCs w:val="20"/>
          <w:lang w:val="af-ZA"/>
        </w:rPr>
        <w:t xml:space="preserve">N </w:t>
      </w:r>
      <w:r w:rsidRPr="00F32D53">
        <w:rPr>
          <w:rFonts w:ascii="Calibri" w:hAnsi="Calibri" w:cstheme="minorHAnsi"/>
          <w:szCs w:val="20"/>
          <w:lang w:val="af-ZA"/>
        </w:rPr>
        <w:t>^f_dec_n^</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^pr:t_ru^</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^pr:t_ru^</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^tnd_t_ru^</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^tnd_t_ru^</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^pr:t_ru^</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^application_ru^</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^tender:code_ru^</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^sec_email_ru^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^tnd_t_ru^</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^lot_count_ru^</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^prepayment_text1_ru^</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^prepayment_text2_ru^</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^end_bid_hour^</w:t>
      </w:r>
      <w:r w:rsidRPr="00F32D53">
        <w:rPr>
          <w:rFonts w:ascii="Calibri" w:hAnsi="Calibri" w:cstheme="minorHAnsi"/>
          <w:lang w:val="ru-RU"/>
        </w:rPr>
        <w:t>" часов "</w:t>
      </w:r>
      <w:r w:rsidR="003955D4" w:rsidRPr="00F32D53">
        <w:rPr>
          <w:rFonts w:ascii="Calibri" w:hAnsi="Calibri" w:cstheme="minorHAnsi"/>
          <w:lang w:val="af-ZA"/>
        </w:rPr>
        <w:t>^end_bid_day^</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^hraver:4_4_ru^</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^rate_usd^</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^rate_rur^</w:t>
      </w:r>
      <w:r w:rsidRPr="00F32D53">
        <w:rPr>
          <w:rFonts w:ascii="Calibri" w:hAnsi="Calibri" w:cstheme="minorHAnsi"/>
          <w:szCs w:val="22"/>
        </w:rPr>
        <w:t xml:space="preserve"> драмом, евро </w:t>
      </w:r>
      <w:r w:rsidR="00991780" w:rsidRPr="00F32D53">
        <w:rPr>
          <w:rFonts w:ascii="Calibri" w:hAnsi="Calibri" w:cstheme="minorHAnsi"/>
          <w:lang w:val="af-ZA"/>
        </w:rPr>
        <w:t>^rate_eur^</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^hayti_apahovum_10_title_ru^</w:t>
      </w:r>
    </w:p>
    <w:p w:rsidR="001A1C97" w:rsidRPr="00F32D53" w:rsidRDefault="001A1C97" w:rsidP="001A1C97">
      <w:pPr>
        <w:rPr>
          <w:rFonts w:ascii="Calibri" w:hAnsi="Calibri" w:cstheme="minorHAnsi"/>
          <w:b/>
        </w:rPr>
      </w:pPr>
      <w:r w:rsidRPr="00F32D53">
        <w:rPr>
          <w:rFonts w:ascii="Calibri" w:hAnsi="Calibri" w:cstheme="minorHAnsi"/>
        </w:rPr>
        <w:t>^hayti_apahovum_10_ru^</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^reverse_start_time^</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^inactivity_day^</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^percent^</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B66D7F" w:rsidRPr="00B66D7F">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^working_day^</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E93C04" w:rsidRPr="00F32D53">
        <w:rPr>
          <w:rFonts w:ascii="Calibri" w:hAnsi="Calibri" w:cstheme="minorHAnsi"/>
          <w:sz w:val="23"/>
          <w:szCs w:val="23"/>
          <w:lang w:val="af-ZA"/>
        </w:rPr>
        <w:t>^tender:code_ru^</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^havelvac_1_ru^</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^havelvac_2_4_ru^</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^havelvac_2_8_1_ru^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^havelvac_2_19_ru^ ^havelvac_2_21_ru^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^havelvac_2_36_ru^</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^havelvac_3_1_ru^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^havelvac_3_2_ru^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^havelvac_3_3_ru^</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^havelvac_3_4_ru^</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^havelvac_3_5_ru^</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^havelvac_3_6_ru^ ^havelvac_3_7_ru^ ^havelvac_3_8_ru^</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^havelvac_3_9_ru^</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^havelvac_3_10_ru^</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^havelvac_3_11_ru^</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^havelvac_3_12_ru^</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^havelvac_3_13_ru^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^havelvac_3_14_ru^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^havelvac_3_15_ru^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^havelvac_3_16_ru^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^havelvac_3_17_ru^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^havelvac_3_18_ru^ ^havelvac_3_19_ru^ ^havelvac_3_20_ru^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^havelvac_3_21_ru^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^havelvac_3_22_ru^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^havelvac_3_23_ru^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^havelvac_3_24_ru^</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^havelvac_3_25_ru^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^havelvac_3_26_ru^ ^havelvac_3_27_ru^</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^havelvac_3_28_ru^</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^havelvac_3_29_ru^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^havelvac_3_30_ru^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^havelvac_3_31_ru^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^havelvac_3_32_ru^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^havelvac_3_33_ru^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^havelvac_3_33_1_ru^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^havelvac_3_33_2_ru^ </w:t>
      </w:r>
      <w:r w:rsidRPr="00F32D53">
        <w:rPr>
          <w:rStyle w:val="Hyperlink"/>
          <w:rFonts w:ascii="Calibri" w:hAnsi="Calibri" w:cstheme="minorHAnsi"/>
          <w:lang w:val="hy-AM"/>
        </w:rPr>
        <w:t>^havelvac_3_33_ru_link^</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^havelvac_3_33_3_ru^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^havelvac_3_34_ru^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^havelvac_3_37_ru^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^havelvac_3_38_ru^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^havelvac_3_39_ru^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^havelvac_3_40_ru^</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^havelvac_3_41_ru^</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^havelvac_3_42_ru^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^havelvac_3_43_ru^</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^havelvac_3_44_ru^</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^havelvac_3.1_1_ru^</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^havelvac_3.1_2_ru^</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^havelvac_3.1_6_ru^ ^havelvac_3.1_7_ru^</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^havelvac_3.1_8_ru^</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^havelvac_3.1_9_ru^</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^havelvac_3.1_10_ru^</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^havelvac_3.1_11_ru^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^havelvac_3.1_12_ru^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^havelvac_3.1_13_ru^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^havelvac_3.1_14_ru^</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^havelvac_3.1_17_ru^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^havelvac_3.1_18_ru^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^havelvac_3.1_19_ru^</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^havelvac_3.1_20_ru^</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^havelvac_3.1_21_ru^                        </w:t>
      </w:r>
      <w:r w:rsidRPr="00F32D53">
        <w:rPr>
          <w:rFonts w:ascii="Calibri" w:eastAsiaTheme="minorHAnsi" w:hAnsi="Calibri" w:cstheme="minorBidi"/>
          <w:color w:val="000000" w:themeColor="text1"/>
          <w:sz w:val="18"/>
          <w:szCs w:val="22"/>
          <w:lang w:val="en-US"/>
        </w:rPr>
        <w:t xml:space="preserve">^havelvac_3.1_22_ru^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^havelvac_3.1_23_ru^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^havelvac_3.1_23_line_ru^</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^havelvac_3.1_23_foot_ru^</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^havelvac_3.1_23_1_ru^</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^havelvac_3.1_24_ru^</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^havelvac_3.1_25_ru^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^havelvac_3.1_26_ru^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^havelvac_3.1_28_ru^ </w:t>
      </w:r>
      <w:hyperlink r:id="rId10" w:history="1">
        <w:r w:rsidRPr="00F32D53">
          <w:rPr>
            <w:rStyle w:val="Hyperlink"/>
            <w:rFonts w:ascii="Calibri" w:eastAsiaTheme="minorHAnsi" w:hAnsi="Calibri" w:cstheme="minorBidi"/>
            <w:sz w:val="22"/>
            <w:szCs w:val="22"/>
            <w:lang w:val="en-US"/>
          </w:rPr>
          <w:t>^havelvac_3.1_29_ru_link^</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^havelvac_3.1_30_ru^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^havelvac_3.1_33_4_ru^</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^havelvac_3.1_34_ru^</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^havelvac_3.1_35_ru^</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^havelvac_3.1_36_ru^</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^havelvac_3.1_37_ru^</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^tender:code_ru^</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^havelvac_4.2_1_ru^</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^havelvac_4.2_5_ru^</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^havelvac_4.2_8_ru^</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^havelvac_4.2_10_ru^</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^havelvac_4.2_11_ru^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^havelvac_4.2_15_ru^</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^havelvac_4.2_15_1_ru^</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^havelvac_4.2_16_ru^</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^havelvac_4.2_17_ru^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^havelvac_4.2_18_ru^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^havelvac_4.2_19_ru^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^havelvac_4.2_20_ru^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^havelvac_4.2_21_ru^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^havelvac_4.2_22_ru^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^havelvac_4.2_23_ru^</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^havelvac_4.2_24_ru^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^havelvac_4.2_25_ru^</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^havelvac_4.2_26_ru^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^havelvac_4.2_27_ru^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2" w:history="1">
        <w:r w:rsidRPr="00E41FA3">
          <w:rPr>
            <w:rStyle w:val="Hyperlink"/>
            <w:rFonts w:cstheme="minorHAnsi"/>
          </w:rPr>
          <w:t>^havelvac_4.2_29_ru_link^</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^havelvac_4.2_31_ru^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^havelvac_4.2_36_ru^</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^havelvac_4.2_37_ru^</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^tender:code_ru^</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^without_prepayment_ru^</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отделки Erosolve для отделки VLB-125BTC (298703.10), состоящая из:
- корпус в сборе (включая цилиндр, зажимную втулку цилиндра, секторное кольцо, нажимное кольцо, направляющую втулку)
- каркаса
- полный уплотнительный узел со специальным покрытием
- седла
- из Soft gods комплекта материалов для trimа
- инструменты для снятия и сжатия седла
- из обновленной технической документации
Должно быть применимо для рекомендуемого минимального давления подачи воздуха 6 barg.
Поставляемая продукция должна быть новой и неиспользованной.
По соглашению сторон товар может быть поставлен раньше установленной даты поставки.
Транспортировка и разгрузка продукции осуществляется поставщиком.
За один день до доставки товаров сообщить об этом Заказчику.
Вместе с продукцией необходимо предоставить сертификат соответствия качества, информацию о производителе и стране производства, а также дату изготовления.
При поставке продукции компания-поставщик обязана представить доверенность от имени производителя (MAF - Manufacturer's Authorization Form) или уполномоченной им организации в Республике Армения (DAF - Distributor's Authorization Form).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