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ԿՇՄՊ-ԷԱՃԱՊՁԲ-25/45 ծածկագրով էլեկտրոնային աճուրդ ընթացակարգով պոմպերի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ԿՇՄՊ-ԷԱՃԱՊՁԲ-25/45 ծածկագրով էլեկտրոնային աճուրդ ընթացակարգով պոմպերի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ԿՇՄՊ-ԷԱՃԱՊՁԲ-25/45 ծածկագրով էլեկտրոնային աճուրդ ընթացակարգով պոմպերի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ԿՇՄՊ-ԷԱՃԱՊՁԲ-25/45 ծածկագրով էլեկտրոնային աճուրդ ընթացակարգով պոմպերի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Grundfos SP 46-6 կամ Ebara BSP CC(L) 
Պոմպի պտտման հաճախականությունը՝ 2900 պտույտ/րոպե
Հոսանքի հաշվարկված հոսքի արագություն՝ 26.34 մ³/ժ
Պոմպի ընդհանուր գլխիկ՝ 67.93 մ
Աստիճաններ՝ 6
Վկայականներ՝ CE, EAC, UKCA, SEPRO, MOR OCCO
Արդյունավետության հաստատումներ՝ ISO9906:2012 3B
Աշխատանքային անիվը՝ չժանգոտվող պողպատ
Էլեկտրական շարժիչ՝ չժանգոտվող պողպատ DIN W.-Nr. 1.4301 AISI 304
Խողովակի միացման ստանդարտ՝ Rp
Աշխատանքային հեղուկ՝ Ջուր
Էլեկտրական շարժիչի տեսակ՝ MS6000
Անվանական հզորություն - P2՝ 9.2 կՎտ
Սնուցման հաճախականություն՝ 50 Հց
Անվանական լարում՝ 3 x 380-400-415 Վ
Մեկնարկային սխեմա՝ աստղ-եռանկյուն մեկնարկ
Պաշտպանության դաս (IEC 34-5): IP68
Մեկուսացման դաս (IEC 85): F
Ջերմային պաշտպանություն՝ արտաքին
Ներկառուցված ջերմաստիճանի սենսոր՝ այո
Մալուխի երկարություն՝ առնվազն 5 մ
Ուժային մալուխի տեսակ՝ FLAT
Շրջակա միջավայրի վկայականներ՝ WEEE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