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ԿՇՄՊ-ԷԱՃԱՊՁԲ-25/44 ծածկագրով  էլեկտրոնային աճուրդ ընթացակարգով մետաղի եռակցման սարքի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ԿՇՄՊ-ԷԱՃԱՊՁԲ-25/44 ծածկագրով  էլեկտրոնային աճուրդ ընթացակարգով մետաղի եռակցման սարքի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ԿՇՄՊ-ԷԱՃԱՊՁԲ-25/44 ծածկագրով  էլեկտրոնային աճուրդ ընթացակարգով մետաղի եռակցման սարքի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ԿՇՄՊ-ԷԱՃԱՊՁԲ-25/44 ծածկագրով  էլեկտրոնային աճուրդ ընթացակարգով մետաղի եռակցման սարքի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եռակցման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ԿՇՄՊ-ԷԱՃԱՊՁԲ-25/44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ԿՇՄՊ-ԷԱՃԱՊՁԲ-25/44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եռակցման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տեսակը՝ MMA (ձեռքով աղեղային զոդում էլեկտրոդով)
Աշխատանքային լարում Վ՝ 150-220
Աշխատանքային հաճախականություն Հց՝ 50
Առավելագույն սպառվող հզորություն կՎտ՝ 4.6-5.5
Առավելագույն սպառվող հոսանք Ա՝ 21-25.2
Զոդման հոսանքի տեսակ՝ մշտական
Զոդման հոսանքի միջակայք Ա՝ 20-220
Աշխատանքային ցիկլ՝  180 Ա / 100 %; 220 Ա / 80%
Դատարկ ընթացքի լարում Վ՝ 24.8-25.6
Էլեկտրոդների տրամագիծ մմ՝ 1.6-5
Աշխատանք գեներատորից (առաջարկվող գեներատորի հզորությունը առավելագույն զոդման հոսանքի դեպքում) կՎտ՝ 7
Աշխատանքային ցիկլ (ՊՎ)՝ 80% 
ՕԳԳ՝ 85%
Հզորության գործակից՝0.9
ARC FORCE կարգավորում Ա՝ 0-10
VRD-ի անջատում
«HOT START», «ANTI-STICK» և «ARC FORCE» գործառույթների առկայություն
Մեկուսացման դաս՝  H
Պաշտպանության դաս՝  IP21
Աշխատանք ցածր լարման դեպքում՝ սկսած 150 Վ-ից
Մալուխի երկարություն մ՝ առնվազն 3մ
Երկ x լայն x բարձր մմ՝ 300x125x205 (±10մմ)
Քաշ կգ՝ 3.5-3.6
Լրակազմ՝ մալուխ էլեկտրոդավորիչով, հողային մալուխ, մետաղական խոզանակ, ուսի գոտի:
Մատակարարված ապրանքը պետք է լինի նոր՝ չօգտագործված:  Ապրանքի տեղափոխումը և բեռնաթափումը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730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եռակցման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