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դրեզինայի պահեստամասերի ձեռքբերման նպատակով ԵՄ-ԷԱՃԱՊՁԲ-25/124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դրեզինայի պահեստամասերի ձեռքբերման նպատակով ԵՄ-ԷԱՃԱՊՁԲ-25/124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դրեզինայի պահեստամասերի ձեռքբերման նպատակով ԵՄ-ԷԱՃԱՊՁԲ-25/124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դրեզինայի պահեստամասերի ձեռքբերման նպատակով ԵՄ-ԷԱՃԱՊՁԲ-25/124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Մեկնարկիչ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Բռնկման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մաքրիչների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ЗИЛ-131 տիպի շարժիչի համար նախատեսված փոխանցման տուփ: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Մեկնարկիչ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ЗИЛ-131 տիպի շարժիչի համար նախատեսված մեկնարկիչ: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ЗИЛ-131 տիպի շարժիչի հովացման համակարգի համար նախատեսված պոմպ: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Բռնկման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Բռնկման կոճ՝ համատեղելի ЗИЛ-131 շարժիչի հետ: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մաքրիչների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առջևի ապակու մաքրիչների համակարգ: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մթության մեջ լուսավորության համար, բեռնատարների համար, մետաղական իրանով , տրամագիծը՝ 20սմ ոչ պակաս, 12վ լամպով: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մթության մեջ տեսանելիության համար, կարմիր գույնի, բեռնատարների համար, մետաղական իրանով , տրամագիծը՝ 15-20սմ , 12վ լամպով: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մթության մեջ լուսավորության համար, բեռնատարների համար, մետաղական իրանով , տրամագիծը՝ 15-20սմ , 12վ լամպով: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ամբարձիչ շղթա 2մ երկարութամբ
Կապի տրամագիծը՝ 20 մմ, երկարությունը՝ 60 մմ։
Կապի ներքին լայնությունը (B1): 25 մմ, արտաքինը (B2): 70 մմ։
Աշխատանքային բեռը՝ 12.5 տ։
Կոտրման բեռը՝ 50 տ։
Քաշը՝ 8.6 կգ։
Նյութը՝ ջերմամշակված պողպատ, ամրության դաս 8։
Անվտանգության գործակիցը՝ 4:1։ Ապրանքը պետք է լինի նոր և չօգտագործված: Տեղափոխումը և բեռնաթափումը իրականացվում է մատակարարի կողմից: Կից հավելվածով ներկայացվում է լուսանկար: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նախատեսված բեռնատարների համար, 12Վ, 120 Աժ, քաշը՝ ոչ պակաս, քան 36կգ: Ապրանքը պետք է լինի նոր և չօգտագործված: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