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ՎԲԿ-ԷԱՃԱՊՁԲ-25/133</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ПВХ. Уровень риска образования пролежней: 1-я степень. Низкий.
Матрас: куполообразные углубления.
Размеры матраса: 200x90x7 см  +-5%
Размеры насоса: 28x14x9 см  +-5%
Максимальная нагрузка: 135 кг.
Особенности: регулировка уровня жесткости матраса в зависимости от веса пользователя.
Насос: компактный, бесшумный, с ручной регулировкой давления, периодичность цикла 12 минут, круглосуточная непрерывная работа.
Электропитание: 220 В.
Давление: (sd. s. мм) 50–110.
Уровень шума: не более 40 дБ. Комплектация и принадлежности: Монтаж и запуск, обучение персонала на месте, руководство пользователя на армянском или русском языках. Оборудование должно быть новым, не бывшим в употреблении. В комплект входят все необходимые дополнительные устройства и аксессуары для полноценной работы. Гарантия не менее 12 месяцев. Сертификаты качества ISO 12485.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