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0B342E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0B342E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1E2C2216" w14:textId="77777777" w:rsidR="00823413" w:rsidRPr="000B342E" w:rsidRDefault="00823413" w:rsidP="0082341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7205613"/>
      <w:r w:rsidRPr="000B342E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- ГРАФИК ПОКУПКИ</w:t>
      </w:r>
    </w:p>
    <w:p w14:paraId="1E246AA1" w14:textId="77777777" w:rsidR="00823413" w:rsidRPr="000B342E" w:rsidRDefault="00823413" w:rsidP="00823413">
      <w:pPr>
        <w:tabs>
          <w:tab w:val="left" w:pos="2844"/>
        </w:tabs>
        <w:spacing w:after="0"/>
        <w:ind w:right="-59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0B342E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1202"/>
        <w:gridCol w:w="1501"/>
        <w:gridCol w:w="3719"/>
        <w:gridCol w:w="675"/>
        <w:gridCol w:w="709"/>
        <w:gridCol w:w="851"/>
        <w:gridCol w:w="850"/>
        <w:gridCol w:w="992"/>
        <w:gridCol w:w="993"/>
        <w:gridCol w:w="1436"/>
      </w:tblGrid>
      <w:tr w:rsidR="000B342E" w:rsidRPr="000B342E" w14:paraId="4ACC815D" w14:textId="77777777" w:rsidTr="00037A78">
        <w:trPr>
          <w:trHeight w:val="85"/>
          <w:jc w:val="center"/>
        </w:trPr>
        <w:tc>
          <w:tcPr>
            <w:tcW w:w="14723" w:type="dxa"/>
            <w:gridSpan w:val="12"/>
            <w:shd w:val="clear" w:color="auto" w:fill="auto"/>
          </w:tcPr>
          <w:bookmarkEnd w:id="0"/>
          <w:p w14:paraId="1AC676E9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</w:t>
            </w:r>
          </w:p>
        </w:tc>
      </w:tr>
      <w:tr w:rsidR="000B342E" w:rsidRPr="000B342E" w14:paraId="47397D72" w14:textId="77777777" w:rsidTr="00037A78">
        <w:trPr>
          <w:trHeight w:val="227"/>
          <w:jc w:val="center"/>
        </w:trPr>
        <w:tc>
          <w:tcPr>
            <w:tcW w:w="445" w:type="dxa"/>
            <w:vMerge w:val="restart"/>
            <w:shd w:val="clear" w:color="auto" w:fill="auto"/>
            <w:vAlign w:val="center"/>
          </w:tcPr>
          <w:p w14:paraId="228BB9E2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14:paraId="6566D88F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</w:tcPr>
          <w:p w14:paraId="358ECE66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14:paraId="429100D6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товарный знак, фирменное наименование, модель и наименование производителя**</w:t>
            </w:r>
          </w:p>
        </w:tc>
        <w:tc>
          <w:tcPr>
            <w:tcW w:w="3719" w:type="dxa"/>
            <w:vMerge w:val="restart"/>
            <w:shd w:val="clear" w:color="auto" w:fill="auto"/>
            <w:vAlign w:val="center"/>
          </w:tcPr>
          <w:p w14:paraId="4FD9ED27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766BE215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3CD3591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 единицы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28CD1EC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общая цена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F5E00D5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общий объем</w:t>
            </w:r>
          </w:p>
        </w:tc>
        <w:tc>
          <w:tcPr>
            <w:tcW w:w="3421" w:type="dxa"/>
            <w:gridSpan w:val="3"/>
            <w:shd w:val="clear" w:color="auto" w:fill="auto"/>
            <w:vAlign w:val="center"/>
          </w:tcPr>
          <w:p w14:paraId="1452CAC4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поставки</w:t>
            </w:r>
          </w:p>
        </w:tc>
      </w:tr>
      <w:tr w:rsidR="000B342E" w:rsidRPr="000B342E" w14:paraId="03E44D98" w14:textId="77777777" w:rsidTr="00037A78">
        <w:trPr>
          <w:trHeight w:val="462"/>
          <w:jc w:val="center"/>
        </w:trPr>
        <w:tc>
          <w:tcPr>
            <w:tcW w:w="445" w:type="dxa"/>
            <w:vMerge/>
            <w:shd w:val="clear" w:color="auto" w:fill="auto"/>
            <w:vAlign w:val="center"/>
          </w:tcPr>
          <w:p w14:paraId="038E59C1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071604B4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02" w:type="dxa"/>
            <w:vMerge/>
            <w:shd w:val="clear" w:color="auto" w:fill="auto"/>
            <w:vAlign w:val="center"/>
          </w:tcPr>
          <w:p w14:paraId="72BF1AB8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287100ED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3719" w:type="dxa"/>
            <w:vMerge/>
            <w:shd w:val="clear" w:color="auto" w:fill="auto"/>
            <w:vAlign w:val="center"/>
          </w:tcPr>
          <w:p w14:paraId="123D5626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75" w:type="dxa"/>
            <w:vMerge/>
            <w:shd w:val="clear" w:color="auto" w:fill="auto"/>
            <w:vAlign w:val="center"/>
          </w:tcPr>
          <w:p w14:paraId="561E9F4F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FD279AE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892FC32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9E21143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0BCFE00" w14:textId="77777777" w:rsidR="00B05E31" w:rsidRPr="000B342E" w:rsidRDefault="00B05E31" w:rsidP="00037A7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69047D" w14:textId="77777777" w:rsidR="00B05E31" w:rsidRPr="000B342E" w:rsidRDefault="00B05E31" w:rsidP="00037A78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подлежащее поставке количество товара****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0DE1BFC" w14:textId="77777777" w:rsidR="00B05E31" w:rsidRPr="000B342E" w:rsidRDefault="00B05E31" w:rsidP="00037A78">
            <w:pPr>
              <w:widowControl w:val="0"/>
              <w:spacing w:after="0" w:line="240" w:lineRule="auto"/>
              <w:ind w:left="-132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Срок*</w:t>
            </w:r>
          </w:p>
        </w:tc>
      </w:tr>
      <w:tr w:rsidR="000B342E" w:rsidRPr="000B342E" w14:paraId="72BE5F3B" w14:textId="77777777" w:rsidTr="00037A78">
        <w:trPr>
          <w:trHeight w:val="254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688178CA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A03BC8B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22111150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0C64EE33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Административная карта Республики Армения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1712DBDE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719" w:type="dxa"/>
            <w:shd w:val="clear" w:color="auto" w:fill="auto"/>
            <w:vAlign w:val="center"/>
          </w:tcPr>
          <w:p w14:paraId="4989961C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Представлено ниже в Приложении 1, a ключевые особенности обучающих карт следующие:</w:t>
            </w:r>
          </w:p>
          <w:p w14:paraId="3E508E6F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карты создаются в соответствии с четкими научными обоснованиями и целями,</w:t>
            </w:r>
          </w:p>
          <w:p w14:paraId="3374FF22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каждая карта должна соответствовать определенной части учебной программы и содержать все объекты и явления для исследования, доступные в учебнике, и даже некоторую дополнительную информацию.</w:t>
            </w:r>
          </w:p>
          <w:p w14:paraId="2A6C87C8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В процессе создания учебных карт необходимо:</w:t>
            </w:r>
          </w:p>
          <w:p w14:paraId="20A1C1A0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обеспечьте связь контента между общими географическими и тематическими картами,</w:t>
            </w:r>
          </w:p>
          <w:p w14:paraId="788DD2EA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подчеркивать важность определения принципов обобщения (генерализации) при составлении карт,</w:t>
            </w:r>
          </w:p>
          <w:p w14:paraId="73E15942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при разработке принципов формирования карт обращайте внимание на их наблюдательность, выразительность и понятность.,</w:t>
            </w:r>
          </w:p>
          <w:p w14:paraId="272A3BBA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-обеспечить видимость, возможность охватить исследуемую территорию с первого взгляда, чтобы получить полное и четкое общее представление о содержании и значении карты,</w:t>
            </w:r>
          </w:p>
          <w:p w14:paraId="1A422710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- не превращать учебные карты в схемы, обеспечивать соответствие взаимного расположения объектов действительности. необходимо соблюдать локализацию объектов по сравнению с гидрографической и картографической сетью,</w:t>
            </w:r>
          </w:p>
          <w:p w14:paraId="76E15824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все данные, размещенные на карте обучения, не противоречат действительности и актуальны в настоящее время,</w:t>
            </w:r>
          </w:p>
          <w:p w14:paraId="3DFF5A49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учебные карты не должны быть перегружены,</w:t>
            </w:r>
          </w:p>
          <w:p w14:paraId="08376A14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система условных обозначений должна быть простой и понятной;</w:t>
            </w:r>
          </w:p>
          <w:p w14:paraId="50ED46A6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а) разработать или выбрать такие системы условных обозначений, которые вызывали бы у школьников ассоциации (Ассоциации) с географическими объектами и явлениями,</w:t>
            </w:r>
          </w:p>
          <w:p w14:paraId="39BC2FC9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б) условные обозначения на большой настенной карте должны совпадать с условными обозначениями в атласах.,</w:t>
            </w:r>
          </w:p>
          <w:p w14:paraId="038217ED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карты должны быть наглядными, привлекательными, понятными и максимально доступными для разных школьных возрастных групп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0DC93C6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91DE102" w14:textId="7D46CAB0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A4DC78B" w14:textId="5E47A30B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4ECF3B8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1382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E939E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 ниже в Приложении 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81C99A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1382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41FCB13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Договор будет заключен в соответствии с требованиями, установленными в подпункте 2) части 6 статьи 15 Закона РА «О закупках», и расчет срока в графе будет осуществляться после вступления в силу договора, заключенного между сторонами, если предусмотрены финансовые ресурсы, предусматривающие, что поставка будет осуществлена в течение 60 </w:t>
            </w: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календарных дней, с соблюдением требований, установленных в подпункте «з» пункта 1 пункта 21 «Порядка организации процесса закупок», утвержденного Постановлением Правительства РА № 526-Н от 04.05.17*****</w:t>
            </w:r>
          </w:p>
        </w:tc>
      </w:tr>
      <w:tr w:rsidR="000B342E" w:rsidRPr="000B342E" w14:paraId="6A688A1C" w14:textId="77777777" w:rsidTr="00037A78">
        <w:trPr>
          <w:trHeight w:val="254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0C5857A4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26F623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22111150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55BD6219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Экономическая карта Республики Армения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D693A90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3719" w:type="dxa"/>
            <w:shd w:val="clear" w:color="auto" w:fill="auto"/>
            <w:vAlign w:val="center"/>
          </w:tcPr>
          <w:p w14:paraId="28F88C37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r w:rsidRPr="000B342E">
              <w:rPr>
                <w:color w:val="000000" w:themeColor="text1"/>
                <w:lang w:val="ru-RU"/>
              </w:rPr>
              <w:t xml:space="preserve"> </w:t>
            </w: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Представлено ниже в Приложении </w:t>
            </w: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, a ключевые особенности обучающих карт следующие:</w:t>
            </w:r>
          </w:p>
          <w:p w14:paraId="6227F504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карты создаются в соответствии с четкими научными обоснованиями и целями,</w:t>
            </w:r>
          </w:p>
          <w:p w14:paraId="31EF8EE5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каждая карта должна соответствовать определенной части учебной программы и содержать все объекты и явления для исследования, доступные в учебнике, и даже некоторую дополнительную информацию.</w:t>
            </w:r>
          </w:p>
          <w:p w14:paraId="4E49A502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В процессе создания учебных карт необходимо:</w:t>
            </w:r>
          </w:p>
          <w:p w14:paraId="7A4C11F1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- обеспечьте связь контента между общими географическими и тематическими картами,</w:t>
            </w:r>
          </w:p>
          <w:p w14:paraId="5359510C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подчеркивать важность определения принципов обобщения (генерализации) при составлении карт,</w:t>
            </w:r>
          </w:p>
          <w:p w14:paraId="24871500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при разработке принципов формирования карт обращайте внимание на их наблюдательность, выразительность и понятность.,</w:t>
            </w:r>
          </w:p>
          <w:p w14:paraId="6D3D5A18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-обеспечить видимость, возможность охватить исследуемую территорию с первого взгляда, чтобы получить полное и четкое общее представление о содержании и значении карты,</w:t>
            </w:r>
          </w:p>
          <w:p w14:paraId="65B6344A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не превращать учебные карты в схемы, обеспечивать соответствие взаимного расположения объектов действительности. необходимо соблюдать локализацию объектов по сравнению с гидрографической и картографической сетью,</w:t>
            </w:r>
          </w:p>
          <w:p w14:paraId="1A00F88A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все данные, размещенные на карте обучения, не противоречат действительности и актуальны в настоящее время,</w:t>
            </w:r>
          </w:p>
          <w:p w14:paraId="324B9110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учебные карты не должны быть перегружены,</w:t>
            </w:r>
          </w:p>
          <w:p w14:paraId="1808DEDE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система условных обозначений должна быть простой и понятной;</w:t>
            </w:r>
          </w:p>
          <w:p w14:paraId="275AAC23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а) разработать или выбрать такие системы условных обозначений, которые вызывали бы у школьников ассоциации (Ассоциации) с географическими объектами и явлениями,</w:t>
            </w:r>
          </w:p>
          <w:p w14:paraId="5C8A8B1D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б) условные обозначения на большой настенной карте должны совпадать с условными обозначениями в атласах.,</w:t>
            </w:r>
          </w:p>
          <w:p w14:paraId="4A07AD8D" w14:textId="77777777" w:rsidR="00B05E31" w:rsidRPr="000B342E" w:rsidRDefault="00B05E31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 карты должны быть наглядными, привлекательными, понятными и максимально доступными для разных школьных возрастных групп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399E825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26B98D3" w14:textId="28EE6FE6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4D2B822" w14:textId="4787344E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EED641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1382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9E56A8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 ниже в Приложении 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6F12BE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1382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82EE733" w14:textId="77777777" w:rsidR="00B05E31" w:rsidRPr="000B342E" w:rsidRDefault="00B05E31" w:rsidP="00037A7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Договор будет заключен в соответствии с требованиями, установленными в подпункте 2) части 6 статьи 15 Закона РА «О закупках», и расчет срока в графе будет осуществляться после вступления в силу договора, </w:t>
            </w: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заключенного между сторонами, если предусмотрены финансовые ресурсы, предусматривающие, что поставка будет осуществлена в течение 60 календарных дней, с соблюдением требований, установленных в подпункте «з» пункта 1 пункта 21 «Порядка организации процесса закупок», утвержденного Постановлением Правительства РА № 526-Н от 04.05.17*****</w:t>
            </w:r>
          </w:p>
        </w:tc>
      </w:tr>
    </w:tbl>
    <w:p w14:paraId="50928372" w14:textId="18DAFBD6" w:rsidR="00B05E31" w:rsidRPr="000B342E" w:rsidRDefault="00B05E31" w:rsidP="00B05E31">
      <w:pPr>
        <w:spacing w:after="0" w:line="240" w:lineRule="auto"/>
        <w:ind w:left="-360" w:right="-36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B342E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 xml:space="preserve">* </w:t>
      </w:r>
      <w:r w:rsidRPr="000B342E">
        <w:rPr>
          <w:rFonts w:ascii="GHEA Grapalat" w:eastAsia="Calibri" w:hAnsi="GHEA Grapalat"/>
          <w:color w:val="000000" w:themeColor="text1"/>
          <w:sz w:val="16"/>
          <w:szCs w:val="18"/>
          <w:lang w:val="ru-RU"/>
        </w:rPr>
        <w:t>Д</w:t>
      </w:r>
      <w:r w:rsidRPr="000B342E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1FC97A7E" w14:textId="77777777" w:rsidR="00B05E31" w:rsidRPr="000B342E" w:rsidRDefault="00B05E31" w:rsidP="00B05E31">
      <w:pPr>
        <w:spacing w:after="0" w:line="240" w:lineRule="auto"/>
        <w:ind w:left="-426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B342E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0F6CF198" w14:textId="77777777" w:rsidR="00B05E31" w:rsidRPr="000B342E" w:rsidRDefault="00B05E31" w:rsidP="00B05E31">
      <w:pPr>
        <w:spacing w:after="0" w:line="240" w:lineRule="auto"/>
        <w:ind w:left="-426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B342E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617D0213" w14:textId="77777777" w:rsidR="00B05E31" w:rsidRPr="000B342E" w:rsidRDefault="00B05E31" w:rsidP="00B05E31">
      <w:pPr>
        <w:spacing w:after="0" w:line="240" w:lineRule="auto"/>
        <w:ind w:left="-426" w:right="-36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B342E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  ****Подробный перечень объемов представлен в Приложении 3 и Приложении 4  по регионам.</w:t>
      </w:r>
    </w:p>
    <w:p w14:paraId="13C5730A" w14:textId="77777777" w:rsidR="00B05E31" w:rsidRPr="000B342E" w:rsidRDefault="00B05E31" w:rsidP="00B05E31">
      <w:pPr>
        <w:spacing w:after="0" w:line="240" w:lineRule="auto"/>
        <w:ind w:left="-426" w:right="-225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B342E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*****Поставщик должен переместить товар на арендованную им территорию в РА, где товар должен быть проверен на соответствие контракту на выборочной основе (проверка соответствия 5 образцов от каждого вида продукции техническим условиям, предусмотренным для в договоре) после подтверждения, после чего они должны быть доставлены в школы по указанным адресам. Поставка будет осуществлена в течение 60 календарных дней после вступления договора в силу, включая проверку соответствия на складе (максимум 10 рабочих дней).</w:t>
      </w:r>
    </w:p>
    <w:p w14:paraId="3D468F7D" w14:textId="77777777" w:rsidR="00823413" w:rsidRPr="000B342E" w:rsidRDefault="00823413" w:rsidP="00452161">
      <w:pPr>
        <w:spacing w:after="0"/>
        <w:ind w:left="-284" w:right="83" w:firstLine="284"/>
        <w:jc w:val="both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67FCDC8A" w14:textId="77777777" w:rsidR="00823413" w:rsidRPr="000B342E" w:rsidRDefault="00823413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77635F27" w14:textId="443608D0" w:rsidR="00823413" w:rsidRPr="000B342E" w:rsidRDefault="00823413" w:rsidP="00823413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3A464677" w14:textId="77777777" w:rsidR="00823413" w:rsidRPr="000B342E" w:rsidRDefault="00823413" w:rsidP="00823413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350A2144" w14:textId="77777777" w:rsidR="00823413" w:rsidRPr="000B342E" w:rsidRDefault="00823413" w:rsidP="00823413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5ADE5562" w14:textId="77777777" w:rsidR="00C80FAE" w:rsidRPr="000B342E" w:rsidRDefault="00C80FAE" w:rsidP="00037A78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Лот 1</w:t>
      </w:r>
    </w:p>
    <w:p w14:paraId="1E7E7349" w14:textId="74197376" w:rsidR="00C80FAE" w:rsidRPr="000B342E" w:rsidRDefault="00C80FAE" w:rsidP="00C80FAE">
      <w:pPr>
        <w:tabs>
          <w:tab w:val="left" w:pos="3609"/>
        </w:tabs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0B342E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</w:t>
      </w:r>
    </w:p>
    <w:p w14:paraId="0F6F5BB3" w14:textId="77777777" w:rsidR="00C80FAE" w:rsidRPr="000B342E" w:rsidRDefault="00C80FAE" w:rsidP="00C80FAE">
      <w:pPr>
        <w:tabs>
          <w:tab w:val="left" w:pos="3609"/>
        </w:tabs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</w:p>
    <w:tbl>
      <w:tblPr>
        <w:tblW w:w="13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6662"/>
        <w:gridCol w:w="2410"/>
        <w:gridCol w:w="2410"/>
      </w:tblGrid>
      <w:tr w:rsidR="000B342E" w:rsidRPr="000B342E" w14:paraId="03F564B9" w14:textId="77777777" w:rsidTr="00037A78">
        <w:trPr>
          <w:trHeight w:val="70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6FF63AD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b/>
                <w:iCs/>
                <w:color w:val="000000" w:themeColor="text1"/>
                <w:lang w:val="ru-RU"/>
              </w:rPr>
            </w:pPr>
            <w:r w:rsidRPr="000B342E">
              <w:rPr>
                <w:rFonts w:ascii="GHEA Grapalat" w:hAnsi="GHEA Grapalat" w:cs="Sylfaen"/>
                <w:b/>
                <w:iCs/>
                <w:color w:val="000000" w:themeColor="text1"/>
              </w:rPr>
              <w:t>Наименование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E9FC553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b/>
                <w:iCs/>
                <w:color w:val="000000" w:themeColor="text1"/>
                <w:lang w:val="ru-RU"/>
              </w:rPr>
            </w:pPr>
            <w:r w:rsidRPr="000B342E">
              <w:rPr>
                <w:rFonts w:ascii="GHEA Grapalat" w:hAnsi="GHEA Grapalat"/>
                <w:b/>
                <w:iCs/>
                <w:color w:val="000000" w:themeColor="text1"/>
              </w:rPr>
              <w:t>Техническая характеристика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2620D6B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b/>
                <w:iCs/>
                <w:color w:val="000000" w:themeColor="text1"/>
              </w:rPr>
            </w:pPr>
            <w:r w:rsidRPr="000B342E">
              <w:rPr>
                <w:rFonts w:ascii="GHEA Grapalat" w:hAnsi="GHEA Grapalat"/>
                <w:b/>
                <w:iCs/>
                <w:color w:val="000000" w:themeColor="text1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A99CE9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b/>
                <w:iCs/>
                <w:color w:val="000000" w:themeColor="text1"/>
              </w:rPr>
            </w:pPr>
            <w:r w:rsidRPr="000B342E">
              <w:rPr>
                <w:rFonts w:ascii="GHEA Grapalat" w:hAnsi="GHEA Grapalat"/>
                <w:b/>
                <w:iCs/>
                <w:color w:val="000000" w:themeColor="text1"/>
              </w:rPr>
              <w:t>общий объем</w:t>
            </w:r>
          </w:p>
        </w:tc>
      </w:tr>
      <w:tr w:rsidR="000B342E" w:rsidRPr="000B342E" w14:paraId="7C2E7E85" w14:textId="77777777" w:rsidTr="00037A78">
        <w:trPr>
          <w:trHeight w:val="83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CB05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B342E">
              <w:rPr>
                <w:rFonts w:ascii="GHEA Grapalat" w:hAnsi="GHEA Grapalat" w:cs="Calibri"/>
                <w:color w:val="000000" w:themeColor="text1"/>
              </w:rPr>
              <w:t>Административная карта Республики Армения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7966" w14:textId="77777777" w:rsidR="00C80FAE" w:rsidRPr="000B342E" w:rsidRDefault="00C80FAE" w:rsidP="00037A78">
            <w:pPr>
              <w:pStyle w:val="Heading1"/>
              <w:spacing w:before="0" w:beforeAutospacing="0" w:after="60" w:afterAutospacing="0" w:line="276" w:lineRule="auto"/>
              <w:jc w:val="both"/>
              <w:rPr>
                <w:rFonts w:ascii="GHEA Grapalat" w:eastAsiaTheme="minorEastAsia" w:hAnsi="GHEA Grapalat" w:cs="Calibri"/>
                <w:b w:val="0"/>
                <w:bCs w:val="0"/>
                <w:color w:val="000000" w:themeColor="text1"/>
                <w:kern w:val="0"/>
                <w:sz w:val="22"/>
                <w:szCs w:val="22"/>
                <w:lang w:val="hy-AM"/>
              </w:rPr>
            </w:pPr>
            <w:r w:rsidRPr="000B342E">
              <w:rPr>
                <w:rFonts w:ascii="GHEA Grapalat" w:eastAsiaTheme="minorEastAsia" w:hAnsi="GHEA Grapalat" w:cs="Calibri"/>
                <w:b w:val="0"/>
                <w:bCs w:val="0"/>
                <w:color w:val="000000" w:themeColor="text1"/>
                <w:kern w:val="0"/>
                <w:sz w:val="22"/>
                <w:szCs w:val="22"/>
                <w:lang w:val="hy-AM"/>
              </w:rPr>
              <w:t>Административная карта Республики Армения должна быть выполнена на армянском языке, масштабом 1:200 000, размером 140 x 200 см, на мелованной однослойной бумаге плотностью 200 г/м², с двусторонней ламинацией. Карта должна быть укреплена сверху и снизу пластиковыми арматурными стержнями, иметь металлический подвес, трос</w:t>
            </w:r>
          </w:p>
          <w:p w14:paraId="2A401E30" w14:textId="77777777" w:rsidR="00C80FAE" w:rsidRPr="000B342E" w:rsidRDefault="00C80FAE" w:rsidP="00037A78">
            <w:pPr>
              <w:spacing w:after="0"/>
              <w:jc w:val="both"/>
              <w:rPr>
                <w:rFonts w:ascii="GHEA Grapalat" w:hAnsi="GHEA Grapalat" w:cs="Calibri"/>
                <w:color w:val="000000" w:themeColor="text1"/>
                <w:lang w:val="hy-AM"/>
              </w:rPr>
            </w:pPr>
            <w:r w:rsidRPr="000B342E">
              <w:rPr>
                <w:rFonts w:ascii="GHEA Grapalat" w:hAnsi="GHEA Grapalat" w:cs="Calibri"/>
                <w:color w:val="000000" w:themeColor="text1"/>
                <w:lang w:val="hy-AM"/>
              </w:rPr>
              <w:t>и держатель для подвешивания на стену. В верхней части карты должно быть указано название «Административная карта Республики Армения». В нижней части карты должна быть указана легенда условными знаками. Масштаб карты должен быть указан.</w:t>
            </w:r>
          </w:p>
          <w:p w14:paraId="78D2F2FF" w14:textId="77777777" w:rsidR="00C80FAE" w:rsidRPr="000B342E" w:rsidRDefault="00C80FAE" w:rsidP="00037A78">
            <w:pPr>
              <w:spacing w:after="0"/>
              <w:jc w:val="both"/>
              <w:rPr>
                <w:rFonts w:ascii="GHEA Grapalat" w:hAnsi="GHEA Grapalat" w:cs="Times New Roman"/>
                <w:color w:val="000000" w:themeColor="text1"/>
                <w:lang w:val="hy-AM"/>
              </w:rPr>
            </w:pPr>
            <w:r w:rsidRPr="000B342E">
              <w:rPr>
                <w:rFonts w:ascii="GHEA Grapalat" w:hAnsi="GHEA Grapalat" w:cs="Calibri"/>
                <w:color w:val="000000" w:themeColor="text1"/>
                <w:lang w:val="hy-AM"/>
              </w:rPr>
              <w:t>На карте должны быть отображены границы административно-территориальных единиц, их наименования, реки и озера, транспортные пути (межгосударственные и республиканские автомобильные и железные дороги). Административные единицы должны быть выделены цветом. Населённые пункты должны быть классифицированы по административному значению: столицы, районные центры, общинные центры, другие населённые пункты.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1F7D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lang w:val="hy-AM"/>
              </w:rPr>
            </w:pPr>
            <w:r w:rsidRPr="000B342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EE1EC2E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lang w:val="hy-AM"/>
              </w:rPr>
            </w:pPr>
            <w:r w:rsidRPr="000B342E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1382</w:t>
            </w:r>
          </w:p>
        </w:tc>
      </w:tr>
    </w:tbl>
    <w:p w14:paraId="48C2EE19" w14:textId="77777777" w:rsidR="00823413" w:rsidRPr="000B342E" w:rsidRDefault="00823413" w:rsidP="00823413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4D1193B6" w14:textId="77777777" w:rsidR="00C80FAE" w:rsidRPr="000B342E" w:rsidRDefault="00C80FAE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4E756505" w14:textId="3B9E9046" w:rsidR="00C80FAE" w:rsidRPr="000B342E" w:rsidRDefault="00C80FAE" w:rsidP="00C80FAE">
      <w:pPr>
        <w:spacing w:after="0"/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08B14DE2" w14:textId="77777777" w:rsidR="00C80FAE" w:rsidRPr="000B342E" w:rsidRDefault="00C80FAE" w:rsidP="00C80FAE">
      <w:pPr>
        <w:tabs>
          <w:tab w:val="left" w:pos="1965"/>
        </w:tabs>
        <w:spacing w:after="0" w:line="240" w:lineRule="auto"/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15057B25" w14:textId="77777777" w:rsidR="00C80FAE" w:rsidRPr="000B342E" w:rsidRDefault="00C80FAE" w:rsidP="00C80FAE">
      <w:pPr>
        <w:tabs>
          <w:tab w:val="left" w:pos="3609"/>
        </w:tabs>
        <w:spacing w:after="0"/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0E51FC15" w14:textId="77777777" w:rsidR="00C80FAE" w:rsidRPr="000B342E" w:rsidRDefault="00C80FAE" w:rsidP="00C80FAE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Лот 2</w:t>
      </w:r>
    </w:p>
    <w:p w14:paraId="7A406999" w14:textId="77777777" w:rsidR="00C80FAE" w:rsidRPr="000B342E" w:rsidRDefault="00C80FAE" w:rsidP="00C80FAE">
      <w:pPr>
        <w:tabs>
          <w:tab w:val="left" w:pos="3609"/>
        </w:tabs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0B342E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</w:t>
      </w:r>
    </w:p>
    <w:p w14:paraId="142006B9" w14:textId="77777777" w:rsidR="00C80FAE" w:rsidRPr="000B342E" w:rsidRDefault="00C80FAE" w:rsidP="00C80FAE">
      <w:pPr>
        <w:tabs>
          <w:tab w:val="left" w:pos="3609"/>
        </w:tabs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0"/>
        <w:gridCol w:w="7716"/>
        <w:gridCol w:w="2694"/>
        <w:gridCol w:w="1923"/>
      </w:tblGrid>
      <w:tr w:rsidR="000B342E" w:rsidRPr="000B342E" w14:paraId="5F688FE3" w14:textId="77777777" w:rsidTr="00037A78">
        <w:trPr>
          <w:trHeight w:val="70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BAEAFAA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b/>
                <w:iCs/>
                <w:color w:val="000000" w:themeColor="text1"/>
                <w:lang w:val="ru-RU"/>
              </w:rPr>
            </w:pPr>
            <w:r w:rsidRPr="000B342E">
              <w:rPr>
                <w:rFonts w:ascii="GHEA Grapalat" w:hAnsi="GHEA Grapalat" w:cs="Sylfaen"/>
                <w:b/>
                <w:iCs/>
                <w:color w:val="000000" w:themeColor="text1"/>
              </w:rPr>
              <w:t>Наименование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795D908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b/>
                <w:iCs/>
                <w:color w:val="000000" w:themeColor="text1"/>
                <w:lang w:val="ru-RU"/>
              </w:rPr>
            </w:pPr>
            <w:r w:rsidRPr="000B342E">
              <w:rPr>
                <w:rFonts w:ascii="GHEA Grapalat" w:hAnsi="GHEA Grapalat"/>
                <w:b/>
                <w:iCs/>
                <w:color w:val="000000" w:themeColor="text1"/>
              </w:rPr>
              <w:t>Техническая характеристика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AB404A9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b/>
                <w:iCs/>
                <w:color w:val="000000" w:themeColor="text1"/>
              </w:rPr>
            </w:pPr>
            <w:r w:rsidRPr="000B342E">
              <w:rPr>
                <w:rFonts w:ascii="GHEA Grapalat" w:hAnsi="GHEA Grapalat"/>
                <w:b/>
                <w:iCs/>
                <w:color w:val="000000" w:themeColor="text1"/>
              </w:rPr>
              <w:t>единица измерения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723B1CA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b/>
                <w:iCs/>
                <w:color w:val="000000" w:themeColor="text1"/>
              </w:rPr>
            </w:pPr>
            <w:r w:rsidRPr="000B342E">
              <w:rPr>
                <w:rFonts w:ascii="GHEA Grapalat" w:hAnsi="GHEA Grapalat"/>
                <w:b/>
                <w:iCs/>
                <w:color w:val="000000" w:themeColor="text1"/>
              </w:rPr>
              <w:t>общий объем</w:t>
            </w:r>
          </w:p>
        </w:tc>
      </w:tr>
      <w:tr w:rsidR="000B342E" w:rsidRPr="000B342E" w14:paraId="55263355" w14:textId="77777777" w:rsidTr="00037A78">
        <w:trPr>
          <w:trHeight w:val="832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DAD2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B342E">
              <w:rPr>
                <w:rFonts w:ascii="GHEA Grapalat" w:hAnsi="GHEA Grapalat" w:cs="Calibri"/>
                <w:color w:val="000000" w:themeColor="text1"/>
              </w:rPr>
              <w:t>Экономическая карта Республики Армения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7E95" w14:textId="77777777" w:rsidR="00C80FAE" w:rsidRPr="000B342E" w:rsidRDefault="00C80FAE" w:rsidP="00037A78">
            <w:pPr>
              <w:pStyle w:val="Heading1"/>
              <w:spacing w:before="0" w:beforeAutospacing="0" w:after="60" w:afterAutospacing="0" w:line="276" w:lineRule="auto"/>
              <w:jc w:val="both"/>
              <w:rPr>
                <w:rFonts w:ascii="GHEA Grapalat" w:eastAsiaTheme="minorEastAsia" w:hAnsi="GHEA Grapalat" w:cs="Calibri"/>
                <w:b w:val="0"/>
                <w:bCs w:val="0"/>
                <w:color w:val="000000" w:themeColor="text1"/>
                <w:kern w:val="0"/>
                <w:sz w:val="22"/>
                <w:szCs w:val="22"/>
                <w:lang w:val="hy-AM"/>
              </w:rPr>
            </w:pPr>
            <w:r w:rsidRPr="000B342E">
              <w:rPr>
                <w:rFonts w:ascii="GHEA Grapalat" w:eastAsiaTheme="minorEastAsia" w:hAnsi="GHEA Grapalat" w:cs="Calibri"/>
                <w:b w:val="0"/>
                <w:bCs w:val="0"/>
                <w:color w:val="000000" w:themeColor="text1"/>
                <w:kern w:val="0"/>
                <w:sz w:val="22"/>
                <w:szCs w:val="22"/>
                <w:lang w:val="hy-AM"/>
              </w:rPr>
              <w:t>Экономическая карта Республики Армения должна быть выполнена на армянском языке в масштабе 1:200 000, размером 140x200 см, на бумаге мелованной, однослойной, плотностью 200 г/м², с двусторонней ламинацией. Карта должна быть укреплена сверху и снизу пластиковыми арматурными стержнями, иметь металлический подвес и трос</w:t>
            </w:r>
          </w:p>
          <w:p w14:paraId="48A4013B" w14:textId="77777777" w:rsidR="00C80FAE" w:rsidRPr="000B342E" w:rsidRDefault="00C80FAE" w:rsidP="00037A78">
            <w:pPr>
              <w:spacing w:after="0"/>
              <w:jc w:val="both"/>
              <w:rPr>
                <w:rFonts w:ascii="GHEA Grapalat" w:hAnsi="GHEA Grapalat" w:cs="Times New Roman"/>
                <w:color w:val="000000" w:themeColor="text1"/>
                <w:lang w:val="ru-RU"/>
              </w:rPr>
            </w:pPr>
            <w:r w:rsidRPr="000B342E">
              <w:rPr>
                <w:rFonts w:ascii="GHEA Grapalat" w:hAnsi="GHEA Grapalat" w:cs="Calibri"/>
                <w:color w:val="000000" w:themeColor="text1"/>
                <w:lang w:val="hy-AM"/>
              </w:rPr>
              <w:t>и держатель</w:t>
            </w:r>
            <w:r w:rsidRPr="000B342E">
              <w:rPr>
                <w:rFonts w:ascii="GHEA Grapalat" w:hAnsi="GHEA Grapalat" w:cs="Calibri"/>
                <w:color w:val="000000" w:themeColor="text1"/>
                <w:lang w:val="ru-RU"/>
              </w:rPr>
              <w:t xml:space="preserve"> </w:t>
            </w:r>
            <w:r w:rsidRPr="000B342E">
              <w:rPr>
                <w:rFonts w:ascii="GHEA Grapalat" w:hAnsi="GHEA Grapalat" w:cs="Calibri"/>
                <w:color w:val="000000" w:themeColor="text1"/>
                <w:lang w:val="hy-AM"/>
              </w:rPr>
              <w:t xml:space="preserve"> для подвешивания на стену. В верхней части карты должно быть указано название «Экономическая карта Республики Армения». В верхней части карты должна быть условная легенда. Ниже должен быть указан масштаб. На карте должно быть показано размещение основных отраслей экономики. Карта должна отражать пространственное распределение и развитие промышленности и сельского хозяйства. На карте должно быть показано распределение полезных ископаемых точечными условными знаками, обозначены промышленные центры и их отраслевая структура показана круговыми диаграммами. Должны быть описаны топливно-энергетическая система и инфраструктура (газопроводы, высоковольтные линии электропередачи). Пространственное размещение отраслей и подотраслей сельского хозяйства следует показывать окраской, маркировкой и специальными точечными условными знаками, а их развитие – прямоугольными диаграммами. Туристско-рекреационные зоны следует показывать специальными точечными условными знаками.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0BE0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lang w:val="hy-AM"/>
              </w:rPr>
            </w:pPr>
            <w:r w:rsidRPr="000B342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664693E" w14:textId="77777777" w:rsidR="00C80FAE" w:rsidRPr="000B342E" w:rsidRDefault="00C80FAE" w:rsidP="00037A78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lang w:val="hy-AM"/>
              </w:rPr>
            </w:pPr>
            <w:r w:rsidRPr="000B342E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1382</w:t>
            </w:r>
          </w:p>
        </w:tc>
      </w:tr>
    </w:tbl>
    <w:p w14:paraId="235CCCD1" w14:textId="77777777" w:rsidR="00C80FAE" w:rsidRPr="000B342E" w:rsidRDefault="00C80FAE" w:rsidP="00C80FAE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021E86BE" w14:textId="77777777" w:rsidR="00C80FAE" w:rsidRPr="000B342E" w:rsidRDefault="00C80FAE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01FCEAEB" w14:textId="3A2A4179" w:rsidR="00C80FAE" w:rsidRPr="000B342E" w:rsidRDefault="00C80FAE" w:rsidP="00C80FAE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3</w:t>
      </w:r>
    </w:p>
    <w:p w14:paraId="5ECCFD1B" w14:textId="77777777" w:rsidR="00C80FAE" w:rsidRPr="000B342E" w:rsidRDefault="00C80FAE" w:rsidP="00C80FAE">
      <w:pPr>
        <w:tabs>
          <w:tab w:val="left" w:pos="1965"/>
        </w:tabs>
        <w:spacing w:after="0" w:line="240" w:lineRule="auto"/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7916D670" w14:textId="77777777" w:rsidR="00C80FAE" w:rsidRPr="000B342E" w:rsidRDefault="00C80FAE" w:rsidP="00C80FAE">
      <w:pPr>
        <w:tabs>
          <w:tab w:val="left" w:pos="3609"/>
        </w:tabs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7C2D9187" w14:textId="77777777" w:rsidR="00C80FAE" w:rsidRPr="000B342E" w:rsidRDefault="00C80FAE" w:rsidP="00C80FAE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7B34D835" w14:textId="77777777" w:rsidR="00C80FAE" w:rsidRPr="000B342E" w:rsidRDefault="00C80FAE" w:rsidP="00C80FAE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необходимое количество в зависимости от региона</w:t>
      </w:r>
    </w:p>
    <w:p w14:paraId="3557664F" w14:textId="77777777" w:rsidR="00C80FAE" w:rsidRPr="000B342E" w:rsidRDefault="00C80FAE" w:rsidP="00C80FAE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Лот 1</w:t>
      </w:r>
    </w:p>
    <w:tbl>
      <w:tblPr>
        <w:tblW w:w="13775" w:type="dxa"/>
        <w:jc w:val="center"/>
        <w:tblLayout w:type="fixed"/>
        <w:tblLook w:val="04A0" w:firstRow="1" w:lastRow="0" w:firstColumn="1" w:lastColumn="0" w:noHBand="0" w:noVBand="1"/>
      </w:tblPr>
      <w:tblGrid>
        <w:gridCol w:w="622"/>
        <w:gridCol w:w="5528"/>
        <w:gridCol w:w="7625"/>
      </w:tblGrid>
      <w:tr w:rsidR="000B342E" w:rsidRPr="000B342E" w14:paraId="262874ED" w14:textId="77777777" w:rsidTr="00037A78">
        <w:trPr>
          <w:trHeight w:val="73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4FCC4AE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0123B3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Область 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675F44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Административная карта Республики Армения</w:t>
            </w:r>
          </w:p>
        </w:tc>
      </w:tr>
      <w:tr w:rsidR="000B342E" w:rsidRPr="000B342E" w14:paraId="621C2891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A5FC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E0D6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Арагацотн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245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0B342E" w:rsidRPr="000B342E" w14:paraId="3C1666F9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D2727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F343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Арарат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20FE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0</w:t>
            </w:r>
          </w:p>
        </w:tc>
      </w:tr>
      <w:tr w:rsidR="000B342E" w:rsidRPr="000B342E" w14:paraId="25C22B51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928DC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67EC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Армавир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A71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19</w:t>
            </w:r>
          </w:p>
        </w:tc>
      </w:tr>
      <w:tr w:rsidR="000B342E" w:rsidRPr="000B342E" w14:paraId="21A4197C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48ABC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0CA3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Гегаркуник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A7D9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2</w:t>
            </w:r>
          </w:p>
        </w:tc>
      </w:tr>
      <w:tr w:rsidR="000B342E" w:rsidRPr="000B342E" w14:paraId="3FCE8B62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6205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2797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Ереван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BA86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8</w:t>
            </w:r>
          </w:p>
        </w:tc>
      </w:tr>
      <w:tr w:rsidR="000B342E" w:rsidRPr="000B342E" w14:paraId="59E07A86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0D3C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A07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Лори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13BF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0B342E" w:rsidRPr="000B342E" w14:paraId="789A1EF8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5580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DBC7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Котайк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37AF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0B342E" w:rsidRPr="000B342E" w14:paraId="2B470FAD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30D99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8A03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Ширак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705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7</w:t>
            </w:r>
          </w:p>
        </w:tc>
      </w:tr>
      <w:tr w:rsidR="000B342E" w:rsidRPr="000B342E" w14:paraId="1F386691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137A9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4A1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Сюник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9D0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4</w:t>
            </w:r>
          </w:p>
        </w:tc>
      </w:tr>
      <w:tr w:rsidR="000B342E" w:rsidRPr="000B342E" w14:paraId="0C1FFBEC" w14:textId="77777777" w:rsidTr="00037A78">
        <w:trPr>
          <w:trHeight w:val="262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3806C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8E78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Вайоц Дзор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6643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7</w:t>
            </w:r>
          </w:p>
        </w:tc>
      </w:tr>
      <w:tr w:rsidR="000B342E" w:rsidRPr="000B342E" w14:paraId="6B46E638" w14:textId="77777777" w:rsidTr="00037A78">
        <w:trPr>
          <w:trHeight w:val="70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04F9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96EC8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Тавуш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A0DB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2</w:t>
            </w:r>
          </w:p>
        </w:tc>
      </w:tr>
      <w:tr w:rsidR="000B342E" w:rsidRPr="000B342E" w14:paraId="358A56F2" w14:textId="77777777" w:rsidTr="00037A78">
        <w:trPr>
          <w:trHeight w:val="39"/>
          <w:jc w:val="center"/>
        </w:trPr>
        <w:tc>
          <w:tcPr>
            <w:tcW w:w="6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9FAEB81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Всего:</w:t>
            </w:r>
          </w:p>
        </w:tc>
        <w:tc>
          <w:tcPr>
            <w:tcW w:w="7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2982C3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eastAsia="hy-AM"/>
              </w:rPr>
              <w:t>1382</w:t>
            </w:r>
          </w:p>
        </w:tc>
      </w:tr>
    </w:tbl>
    <w:p w14:paraId="17364F2B" w14:textId="77777777" w:rsidR="00C80FAE" w:rsidRPr="000B342E" w:rsidRDefault="00C80FAE" w:rsidP="00C80FAE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1987E284" w14:textId="77777777" w:rsidR="00C80FAE" w:rsidRPr="000B342E" w:rsidRDefault="00C80FAE" w:rsidP="00C80FAE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0D0996C8" w14:textId="77777777" w:rsidR="00C80FAE" w:rsidRPr="000B342E" w:rsidRDefault="00C80FAE" w:rsidP="00C80FAE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4C55B425" w14:textId="77777777" w:rsidR="00C80FAE" w:rsidRPr="000B342E" w:rsidRDefault="00C80FAE" w:rsidP="00C80FAE">
      <w:pPr>
        <w:spacing w:after="160" w:line="259" w:lineRule="auto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</w:pPr>
      <w:r w:rsidRPr="000B342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br w:type="page"/>
      </w:r>
    </w:p>
    <w:p w14:paraId="0EECC829" w14:textId="77777777" w:rsidR="00C80FAE" w:rsidRPr="000B342E" w:rsidRDefault="00C80FAE" w:rsidP="00C80FAE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4</w:t>
      </w:r>
    </w:p>
    <w:p w14:paraId="2CC782C5" w14:textId="77777777" w:rsidR="00C80FAE" w:rsidRPr="000B342E" w:rsidRDefault="00C80FAE" w:rsidP="00C80FAE">
      <w:pPr>
        <w:tabs>
          <w:tab w:val="left" w:pos="1965"/>
        </w:tabs>
        <w:spacing w:after="0" w:line="240" w:lineRule="auto"/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7CF08A0B" w14:textId="77777777" w:rsidR="00C80FAE" w:rsidRPr="000B342E" w:rsidRDefault="00C80FAE" w:rsidP="00C80FAE">
      <w:pPr>
        <w:tabs>
          <w:tab w:val="left" w:pos="3609"/>
        </w:tabs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32ECB6F7" w14:textId="77777777" w:rsidR="00C80FAE" w:rsidRPr="000B342E" w:rsidRDefault="00C80FAE" w:rsidP="00C80FAE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3E33FC05" w14:textId="77777777" w:rsidR="00C80FAE" w:rsidRPr="000B342E" w:rsidRDefault="00C80FAE" w:rsidP="00C80FAE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необходимое количество в зависимости от региона</w:t>
      </w:r>
    </w:p>
    <w:p w14:paraId="6B5820EF" w14:textId="77777777" w:rsidR="00C80FAE" w:rsidRPr="000B342E" w:rsidRDefault="00C80FAE" w:rsidP="00C80FAE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Лот 2</w:t>
      </w:r>
    </w:p>
    <w:tbl>
      <w:tblPr>
        <w:tblW w:w="13909" w:type="dxa"/>
        <w:jc w:val="center"/>
        <w:tblLayout w:type="fixed"/>
        <w:tblLook w:val="04A0" w:firstRow="1" w:lastRow="0" w:firstColumn="1" w:lastColumn="0" w:noHBand="0" w:noVBand="1"/>
      </w:tblPr>
      <w:tblGrid>
        <w:gridCol w:w="989"/>
        <w:gridCol w:w="3886"/>
        <w:gridCol w:w="9034"/>
      </w:tblGrid>
      <w:tr w:rsidR="000B342E" w:rsidRPr="000B342E" w14:paraId="50230EA6" w14:textId="77777777" w:rsidTr="00037A78">
        <w:trPr>
          <w:trHeight w:val="7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EF457D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EDB16BE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Область 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6045AF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Экономическая карта Республики Армения</w:t>
            </w:r>
          </w:p>
        </w:tc>
      </w:tr>
      <w:tr w:rsidR="000B342E" w:rsidRPr="000B342E" w14:paraId="4924F495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5CA5F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971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716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0B342E" w:rsidRPr="000B342E" w14:paraId="4484EB58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7C26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03A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7756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0</w:t>
            </w:r>
          </w:p>
        </w:tc>
      </w:tr>
      <w:tr w:rsidR="000B342E" w:rsidRPr="000B342E" w14:paraId="2F04461D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56549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84F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398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19</w:t>
            </w:r>
          </w:p>
        </w:tc>
      </w:tr>
      <w:tr w:rsidR="000B342E" w:rsidRPr="000B342E" w14:paraId="5398E800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29E5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B80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2D3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2</w:t>
            </w:r>
          </w:p>
        </w:tc>
      </w:tr>
      <w:tr w:rsidR="000B342E" w:rsidRPr="000B342E" w14:paraId="08FDB883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9261D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DF67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6D7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8</w:t>
            </w:r>
          </w:p>
        </w:tc>
      </w:tr>
      <w:tr w:rsidR="000B342E" w:rsidRPr="000B342E" w14:paraId="66607C65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C2401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E67E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6F7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0B342E" w:rsidRPr="000B342E" w14:paraId="07BF631C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124EE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28A10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6C38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1</w:t>
            </w:r>
          </w:p>
        </w:tc>
      </w:tr>
      <w:tr w:rsidR="000B342E" w:rsidRPr="000B342E" w14:paraId="49ACDA6B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9D69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9C87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D81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7</w:t>
            </w:r>
          </w:p>
        </w:tc>
      </w:tr>
      <w:tr w:rsidR="000B342E" w:rsidRPr="000B342E" w14:paraId="3820CA41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41756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F743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A7F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4</w:t>
            </w:r>
          </w:p>
        </w:tc>
      </w:tr>
      <w:tr w:rsidR="000B342E" w:rsidRPr="000B342E" w14:paraId="390EAEA5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BE33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EF39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336D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7</w:t>
            </w:r>
          </w:p>
        </w:tc>
      </w:tr>
      <w:tr w:rsidR="000B342E" w:rsidRPr="000B342E" w14:paraId="7566E8C1" w14:textId="77777777" w:rsidTr="00037A78">
        <w:trPr>
          <w:trHeight w:val="26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EC5D0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77630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B6B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2</w:t>
            </w:r>
          </w:p>
        </w:tc>
      </w:tr>
      <w:tr w:rsidR="000B342E" w:rsidRPr="000B342E" w14:paraId="499D3F67" w14:textId="77777777" w:rsidTr="00037A78">
        <w:trPr>
          <w:trHeight w:val="40"/>
          <w:jc w:val="center"/>
        </w:trPr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7FC2D6D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Всего: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0676511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eastAsia="hy-AM"/>
              </w:rPr>
              <w:t>1382</w:t>
            </w:r>
          </w:p>
        </w:tc>
      </w:tr>
    </w:tbl>
    <w:p w14:paraId="30962092" w14:textId="77777777" w:rsidR="00C80FAE" w:rsidRPr="000B342E" w:rsidRDefault="00C80FAE" w:rsidP="00C80FAE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0A6C45D4" w14:textId="77777777" w:rsidR="00C80FAE" w:rsidRPr="000B342E" w:rsidRDefault="00C80FAE" w:rsidP="00C80FAE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596EA0B3" w14:textId="77777777" w:rsidR="00C80FAE" w:rsidRPr="000B342E" w:rsidRDefault="00C80FAE" w:rsidP="00C80FAE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277D4712" w14:textId="77777777" w:rsidR="00C80FAE" w:rsidRPr="000B342E" w:rsidRDefault="00C80FAE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3F9E9D5B" w14:textId="02F5B715" w:rsidR="00C80FAE" w:rsidRPr="000B342E" w:rsidRDefault="00C80FAE" w:rsidP="00C80FAE">
      <w:pPr>
        <w:spacing w:after="0"/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5</w:t>
      </w:r>
    </w:p>
    <w:p w14:paraId="430791F6" w14:textId="77777777" w:rsidR="00C80FAE" w:rsidRPr="000B342E" w:rsidRDefault="00C80FAE" w:rsidP="00C80FAE">
      <w:pPr>
        <w:tabs>
          <w:tab w:val="left" w:pos="1965"/>
        </w:tabs>
        <w:spacing w:after="0" w:line="240" w:lineRule="auto"/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14776568" w14:textId="77777777" w:rsidR="00C80FAE" w:rsidRPr="000B342E" w:rsidRDefault="00C80FAE" w:rsidP="00C80FAE">
      <w:pPr>
        <w:tabs>
          <w:tab w:val="left" w:pos="3609"/>
        </w:tabs>
        <w:ind w:right="-3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437A14DB" w14:textId="77777777" w:rsidR="00C80FAE" w:rsidRPr="000B342E" w:rsidRDefault="00C80FAE" w:rsidP="00C80FAE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3D7EF9BD" w14:textId="77777777" w:rsidR="00C80FAE" w:rsidRPr="000B342E" w:rsidRDefault="00C80FAE" w:rsidP="00C80FAE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B342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p w14:paraId="4B3F9BE1" w14:textId="77777777" w:rsidR="00C80FAE" w:rsidRPr="000B342E" w:rsidRDefault="00C80FAE" w:rsidP="00C80FAE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48"/>
        <w:gridCol w:w="7411"/>
        <w:gridCol w:w="6231"/>
      </w:tblGrid>
      <w:tr w:rsidR="000B342E" w:rsidRPr="000B342E" w14:paraId="28228F86" w14:textId="77777777" w:rsidTr="00037A78">
        <w:trPr>
          <w:trHeight w:val="89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24BE6DF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4E4D49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Область 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9BBE3E5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0B342E" w:rsidRPr="000B342E" w14:paraId="739C0316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8DE85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D822A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Арагацотн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43AC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Аштарак, улица Петросяна, 4</w:t>
            </w:r>
          </w:p>
        </w:tc>
      </w:tr>
      <w:tr w:rsidR="000B342E" w:rsidRPr="000B342E" w14:paraId="1DF61D49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F4885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DF4F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Арарат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F7ED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Арташат, 23 Огостоса улица 60</w:t>
            </w:r>
          </w:p>
        </w:tc>
      </w:tr>
      <w:tr w:rsidR="000B342E" w:rsidRPr="000B342E" w14:paraId="30B8060A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E395D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4EF8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Армавир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1640C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в. Армавир, улица Абовяна, 71</w:t>
            </w:r>
          </w:p>
        </w:tc>
      </w:tr>
      <w:tr w:rsidR="000B342E" w:rsidRPr="000B342E" w14:paraId="2B5703A3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C73C5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00A5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Гегаркуник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76A3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Гавар, Кентронакан площадь, 7</w:t>
            </w:r>
          </w:p>
        </w:tc>
      </w:tr>
      <w:tr w:rsidR="000B342E" w:rsidRPr="000B342E" w14:paraId="7EEAFA8E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5570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7FA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Ереван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2A71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Ереван, улица Аргишти, 1</w:t>
            </w:r>
          </w:p>
        </w:tc>
      </w:tr>
      <w:tr w:rsidR="000B342E" w:rsidRPr="000B342E" w14:paraId="525EAF54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B0915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28E5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Лори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B0DD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Ванадзор, площадь Айка, 1</w:t>
            </w:r>
          </w:p>
        </w:tc>
      </w:tr>
      <w:tr w:rsidR="000B342E" w:rsidRPr="000B342E" w14:paraId="6B0C4865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0754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F057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Котайк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16BE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Раздан, район Кентрон, административное здание</w:t>
            </w:r>
          </w:p>
        </w:tc>
      </w:tr>
      <w:tr w:rsidR="000B342E" w:rsidRPr="000B342E" w14:paraId="3D529751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22E9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75D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Ширак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F0E1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Гюмри, улица Нжде, 16</w:t>
            </w:r>
          </w:p>
        </w:tc>
      </w:tr>
      <w:tr w:rsidR="000B342E" w:rsidRPr="000B342E" w14:paraId="3EEC686A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3E561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383BD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Сюник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F121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Капан, улица Нжде, 1</w:t>
            </w:r>
          </w:p>
        </w:tc>
      </w:tr>
      <w:tr w:rsidR="000B342E" w:rsidRPr="000B342E" w14:paraId="5E351C87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E73CB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D896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Вайоц Дзор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C1EB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Ехегнадзор, улица Шаумяна, 5</w:t>
            </w:r>
          </w:p>
        </w:tc>
      </w:tr>
      <w:tr w:rsidR="00C80FAE" w:rsidRPr="000B342E" w14:paraId="44D037B3" w14:textId="77777777" w:rsidTr="00037A78">
        <w:trPr>
          <w:trHeight w:val="318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43DD0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B342E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41513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Тавуш</w:t>
            </w:r>
          </w:p>
        </w:tc>
        <w:tc>
          <w:tcPr>
            <w:tcW w:w="2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962CD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Иджеван, улица Сахманадрутян, 1</w:t>
            </w:r>
          </w:p>
        </w:tc>
      </w:tr>
    </w:tbl>
    <w:p w14:paraId="01C58856" w14:textId="1A0E21B2" w:rsidR="00823413" w:rsidRPr="000B342E" w:rsidRDefault="00823413" w:rsidP="00823413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823413" w:rsidRPr="000B342E" w:rsidSect="00823413">
          <w:pgSz w:w="15840" w:h="12240" w:orient="landscape"/>
          <w:pgMar w:top="993" w:right="720" w:bottom="720" w:left="720" w:header="720" w:footer="510" w:gutter="0"/>
          <w:cols w:space="720"/>
          <w:docGrid w:linePitch="360"/>
        </w:sectPr>
      </w:pPr>
    </w:p>
    <w:p w14:paraId="714270C0" w14:textId="4CEB9547" w:rsidR="00823413" w:rsidRPr="000B342E" w:rsidRDefault="00823413" w:rsidP="00823413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6F145D6A" w14:textId="77777777" w:rsidR="00C80FAE" w:rsidRPr="000B342E" w:rsidRDefault="00C80FAE" w:rsidP="00C80FAE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0B342E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</w:t>
      </w:r>
    </w:p>
    <w:p w14:paraId="7B509813" w14:textId="77777777" w:rsidR="00C80FAE" w:rsidRPr="000B342E" w:rsidRDefault="00C80FAE" w:rsidP="00C80FAE">
      <w:pPr>
        <w:pStyle w:val="NormalWeb"/>
        <w:spacing w:before="0" w:beforeAutospacing="0" w:after="0" w:afterAutospacing="0"/>
        <w:ind w:left="-426" w:right="-507"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5DE718BF" w14:textId="77777777" w:rsidR="00C80FAE" w:rsidRPr="000B342E" w:rsidRDefault="00C80FAE" w:rsidP="00C80FAE">
      <w:pPr>
        <w:pStyle w:val="NormalWeb"/>
        <w:spacing w:before="0" w:beforeAutospacing="0" w:after="0" w:afterAutospacing="0"/>
        <w:ind w:left="-426" w:right="-507" w:firstLine="540"/>
        <w:jc w:val="both"/>
        <w:rPr>
          <w:color w:val="000000" w:themeColor="text1"/>
          <w:sz w:val="20"/>
          <w:szCs w:val="20"/>
          <w:lang w:val="ru-RU"/>
        </w:rPr>
      </w:pP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0B342E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0B342E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05AD3D5E" w14:textId="77777777" w:rsidR="00C80FAE" w:rsidRPr="000B342E" w:rsidRDefault="00C80FAE" w:rsidP="00C80FAE">
      <w:pPr>
        <w:pStyle w:val="NormalWeb"/>
        <w:spacing w:before="0" w:beforeAutospacing="0" w:after="0" w:afterAutospacing="0"/>
        <w:ind w:left="-426" w:right="-507"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0B342E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6217FACA" w14:textId="77777777" w:rsidR="00C80FAE" w:rsidRPr="000B342E" w:rsidRDefault="00C80FAE" w:rsidP="00C80FAE">
      <w:pPr>
        <w:pStyle w:val="NormalWeb"/>
        <w:spacing w:before="0" w:beforeAutospacing="0" w:after="0" w:afterAutospacing="0"/>
        <w:ind w:left="-426" w:right="-507" w:firstLine="540"/>
        <w:jc w:val="both"/>
        <w:rPr>
          <w:color w:val="000000" w:themeColor="text1"/>
          <w:sz w:val="20"/>
          <w:szCs w:val="20"/>
          <w:lang w:val="ru-RU"/>
        </w:rPr>
      </w:pPr>
      <w:r w:rsidRPr="000B342E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B342E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B342E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B342E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B342E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B342E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B342E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0B342E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0B342E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4CFD07B3" w14:textId="77777777" w:rsidR="00C80FAE" w:rsidRPr="000B342E" w:rsidRDefault="00C80FAE" w:rsidP="00C80FAE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0B342E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2575"/>
        <w:gridCol w:w="2790"/>
        <w:gridCol w:w="709"/>
        <w:gridCol w:w="567"/>
        <w:gridCol w:w="709"/>
        <w:gridCol w:w="567"/>
        <w:gridCol w:w="567"/>
        <w:gridCol w:w="567"/>
        <w:gridCol w:w="567"/>
        <w:gridCol w:w="583"/>
        <w:gridCol w:w="580"/>
        <w:gridCol w:w="539"/>
        <w:gridCol w:w="441"/>
        <w:gridCol w:w="714"/>
        <w:gridCol w:w="1080"/>
      </w:tblGrid>
      <w:tr w:rsidR="000B342E" w:rsidRPr="000B342E" w14:paraId="57901ED3" w14:textId="77777777" w:rsidTr="00037A78">
        <w:trPr>
          <w:trHeight w:val="77"/>
        </w:trPr>
        <w:tc>
          <w:tcPr>
            <w:tcW w:w="13968" w:type="dxa"/>
            <w:gridSpan w:val="16"/>
            <w:vAlign w:val="center"/>
          </w:tcPr>
          <w:p w14:paraId="221D4295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</w:p>
        </w:tc>
      </w:tr>
      <w:tr w:rsidR="000B342E" w:rsidRPr="000B342E" w14:paraId="6CFF3303" w14:textId="77777777" w:rsidTr="00037A78">
        <w:trPr>
          <w:trHeight w:val="768"/>
        </w:trPr>
        <w:tc>
          <w:tcPr>
            <w:tcW w:w="413" w:type="dxa"/>
            <w:vMerge w:val="restart"/>
            <w:vAlign w:val="center"/>
            <w:hideMark/>
          </w:tcPr>
          <w:p w14:paraId="4EFB768B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2575" w:type="dxa"/>
            <w:vMerge w:val="restart"/>
            <w:vAlign w:val="center"/>
            <w:hideMark/>
          </w:tcPr>
          <w:p w14:paraId="1FFF8FEF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CPV</w:t>
            </w: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2790" w:type="dxa"/>
            <w:vMerge w:val="restart"/>
            <w:vAlign w:val="center"/>
          </w:tcPr>
          <w:p w14:paraId="2A418AB5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190" w:type="dxa"/>
            <w:gridSpan w:val="13"/>
            <w:vAlign w:val="center"/>
          </w:tcPr>
          <w:p w14:paraId="2F731527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Оплату товара предусматривается произвести в 20_г., по месяцам, в том числе</w:t>
            </w:r>
          </w:p>
        </w:tc>
      </w:tr>
      <w:tr w:rsidR="000B342E" w:rsidRPr="000B342E" w14:paraId="4A6EC29D" w14:textId="77777777" w:rsidTr="00037A78">
        <w:trPr>
          <w:trHeight w:val="141"/>
        </w:trPr>
        <w:tc>
          <w:tcPr>
            <w:tcW w:w="413" w:type="dxa"/>
            <w:vMerge/>
            <w:vAlign w:val="center"/>
            <w:hideMark/>
          </w:tcPr>
          <w:p w14:paraId="1554DCA0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2575" w:type="dxa"/>
            <w:vMerge/>
            <w:vAlign w:val="center"/>
            <w:hideMark/>
          </w:tcPr>
          <w:p w14:paraId="73A09434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790" w:type="dxa"/>
            <w:vMerge/>
            <w:vAlign w:val="center"/>
          </w:tcPr>
          <w:p w14:paraId="726283ED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6C10CF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4CDBCD2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3D1CC83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29F79C1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B0EDBD8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14DBB0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F3CD046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B0EBF07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14:paraId="7FC3792F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14:paraId="090CF3D8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50F34B02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209165A5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4F51D39" w14:textId="77777777" w:rsidR="00C80FAE" w:rsidRPr="000B342E" w:rsidRDefault="00C80FAE" w:rsidP="00037A7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0B342E" w:rsidRPr="000B342E" w14:paraId="502E2D77" w14:textId="77777777" w:rsidTr="00037A78">
        <w:trPr>
          <w:cantSplit/>
          <w:trHeight w:val="322"/>
        </w:trPr>
        <w:tc>
          <w:tcPr>
            <w:tcW w:w="413" w:type="dxa"/>
            <w:vAlign w:val="center"/>
          </w:tcPr>
          <w:p w14:paraId="162CCFA3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75" w:type="dxa"/>
            <w:vAlign w:val="center"/>
          </w:tcPr>
          <w:p w14:paraId="50266872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22111150</w:t>
            </w:r>
          </w:p>
        </w:tc>
        <w:tc>
          <w:tcPr>
            <w:tcW w:w="2790" w:type="dxa"/>
            <w:vAlign w:val="center"/>
          </w:tcPr>
          <w:p w14:paraId="6C81BB26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Административная карта Республики Армения</w:t>
            </w:r>
          </w:p>
        </w:tc>
        <w:tc>
          <w:tcPr>
            <w:tcW w:w="709" w:type="dxa"/>
            <w:vAlign w:val="center"/>
          </w:tcPr>
          <w:p w14:paraId="47F5838F" w14:textId="77777777" w:rsidR="00C80FAE" w:rsidRPr="000B342E" w:rsidRDefault="00C80FAE" w:rsidP="00037A7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C4EE60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F9A229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CEA4BC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28FB8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A0745D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9CEA8E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1BDF0A1A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569349FB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6B8A0769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294B3032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484BB1E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0B3648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0B342E" w:rsidRPr="000B342E" w14:paraId="4D6CE0D7" w14:textId="77777777" w:rsidTr="00037A78">
        <w:trPr>
          <w:cantSplit/>
          <w:trHeight w:val="322"/>
        </w:trPr>
        <w:tc>
          <w:tcPr>
            <w:tcW w:w="413" w:type="dxa"/>
            <w:vAlign w:val="center"/>
          </w:tcPr>
          <w:p w14:paraId="169308BF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75" w:type="dxa"/>
            <w:vAlign w:val="center"/>
          </w:tcPr>
          <w:p w14:paraId="21C34B0D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22111150</w:t>
            </w:r>
          </w:p>
        </w:tc>
        <w:tc>
          <w:tcPr>
            <w:tcW w:w="2790" w:type="dxa"/>
            <w:vAlign w:val="center"/>
          </w:tcPr>
          <w:p w14:paraId="5C22E605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Экономическая карта Республики Армения</w:t>
            </w:r>
          </w:p>
        </w:tc>
        <w:tc>
          <w:tcPr>
            <w:tcW w:w="709" w:type="dxa"/>
            <w:vAlign w:val="center"/>
          </w:tcPr>
          <w:p w14:paraId="41DF45C7" w14:textId="77777777" w:rsidR="00C80FAE" w:rsidRPr="000B342E" w:rsidRDefault="00C80FAE" w:rsidP="00037A7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84B5B7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3BFFD3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D23365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0A7931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D81BEE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B425BF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918D146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08214FD0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0FF88D4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6630CB36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8F0B82C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D66852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0B342E" w:rsidRPr="000B342E" w14:paraId="5829808C" w14:textId="77777777" w:rsidTr="00037A78">
        <w:trPr>
          <w:cantSplit/>
          <w:trHeight w:val="44"/>
        </w:trPr>
        <w:tc>
          <w:tcPr>
            <w:tcW w:w="12888" w:type="dxa"/>
            <w:gridSpan w:val="15"/>
            <w:vAlign w:val="center"/>
          </w:tcPr>
          <w:p w14:paraId="64FA63C8" w14:textId="77777777" w:rsidR="00C80FAE" w:rsidRPr="000B342E" w:rsidRDefault="00C80FAE" w:rsidP="00037A7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080" w:type="dxa"/>
            <w:vAlign w:val="center"/>
          </w:tcPr>
          <w:p w14:paraId="74D2DB07" w14:textId="77777777" w:rsidR="00C80FAE" w:rsidRPr="000B342E" w:rsidRDefault="00C80FAE" w:rsidP="00037A78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0B342E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22748014" w14:textId="77777777" w:rsidR="00584DB2" w:rsidRPr="000B342E" w:rsidRDefault="00584DB2" w:rsidP="00584DB2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pt-BR"/>
        </w:rPr>
      </w:pPr>
    </w:p>
    <w:p w14:paraId="6A624792" w14:textId="77777777" w:rsidR="00584DB2" w:rsidRPr="000B342E" w:rsidRDefault="00584DB2" w:rsidP="00584DB2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0B342E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УНН</w:t>
      </w:r>
      <w:r w:rsidRPr="000B342E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</w:rPr>
        <w:t>՝</w:t>
      </w:r>
      <w:r w:rsidRPr="000B342E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 02550991</w:t>
      </w:r>
    </w:p>
    <w:p w14:paraId="576090BE" w14:textId="77777777" w:rsidR="00584DB2" w:rsidRPr="000B342E" w:rsidRDefault="00584DB2" w:rsidP="00584DB2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0B342E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2E9DA7A9" w14:textId="77777777" w:rsidR="00584DB2" w:rsidRPr="000B342E" w:rsidRDefault="00584DB2" w:rsidP="00584DB2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0B342E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договорах: </w:t>
      </w:r>
      <w:r w:rsidRPr="000B342E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7135C1AD" w14:textId="77777777" w:rsidR="00584DB2" w:rsidRPr="000B342E" w:rsidRDefault="00584DB2" w:rsidP="00584DB2">
      <w:pPr>
        <w:spacing w:after="0"/>
        <w:ind w:firstLine="720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0B342E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банковских гарантиях или возмещениях: </w:t>
      </w:r>
      <w:r w:rsidRPr="000B342E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900001044172</w:t>
      </w:r>
    </w:p>
    <w:p w14:paraId="4623CF16" w14:textId="77777777" w:rsidR="00823413" w:rsidRPr="000B342E" w:rsidRDefault="00823413" w:rsidP="00823413">
      <w:pPr>
        <w:spacing w:after="0"/>
        <w:ind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</w:p>
    <w:sectPr w:rsidR="00823413" w:rsidRPr="000B342E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B342E"/>
    <w:rsid w:val="001E51A9"/>
    <w:rsid w:val="00270E0A"/>
    <w:rsid w:val="00295023"/>
    <w:rsid w:val="002C5D44"/>
    <w:rsid w:val="002D3ED0"/>
    <w:rsid w:val="002E7D85"/>
    <w:rsid w:val="00452161"/>
    <w:rsid w:val="00584DB2"/>
    <w:rsid w:val="00770443"/>
    <w:rsid w:val="00823413"/>
    <w:rsid w:val="00851842"/>
    <w:rsid w:val="008B1926"/>
    <w:rsid w:val="009845E6"/>
    <w:rsid w:val="009C1EF5"/>
    <w:rsid w:val="009D17C4"/>
    <w:rsid w:val="00B05E31"/>
    <w:rsid w:val="00C80FAE"/>
    <w:rsid w:val="00DF7C0D"/>
    <w:rsid w:val="00E52314"/>
    <w:rsid w:val="00EE4E57"/>
    <w:rsid w:val="00F019D3"/>
    <w:rsid w:val="00F8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81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1867</Words>
  <Characters>10642</Characters>
  <Application>Microsoft Office Word</Application>
  <DocSecurity>0</DocSecurity>
  <Lines>88</Lines>
  <Paragraphs>24</Paragraphs>
  <ScaleCrop>false</ScaleCrop>
  <Company/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24</cp:revision>
  <dcterms:created xsi:type="dcterms:W3CDTF">2024-03-20T11:38:00Z</dcterms:created>
  <dcterms:modified xsi:type="dcterms:W3CDTF">2025-07-31T13:50:00Z</dcterms:modified>
</cp:coreProperties>
</file>