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народнохозяйственного значения для нужд ЗАО «Мецаморская УК» МБК-ЭАЖАПДБ-25/25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2025.08.01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народнохозяйственного значения для нужд ЗАО «Мецаморская УК» МБК-ЭАЖАПДБ-25/25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народнохозяйственного значения для нужд ЗАО «Мецаморская УК» МБК-ЭАЖАПДБ-25/25</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народнохозяйственного значения для нужд ЗАО «Мецаморская УК» МБК-ЭАЖАПДБ-25/25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Резервуар для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на металлических ножках,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384.06</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448.84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ՄԲԿ-ԷԱՃԱՊՁԲ-25/25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Резервуар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Резервуар для воды: двухслойный полиэтилен. Объём: 500 литров. Горизонтальный, длина: 165 см ± 5%, ширина: 60 см ± 5%, высота: 70 см ± 5%. Диаметр резьбовой крышки: 30-40 см. Рабочая температура: от -5°C до +60°C. Изделие должно быть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на металлических ножках,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на металлических ножках, материал сиденья и спинки: пластик, ширина: 45 см ± 5%, глубина сиденья: 35 см ± 5%, высота: 83 см ± 5%. Перед заключением договора поставщик обязан согласовать цветовое сочетание и внешний вид с покупателем. Монтажные работы. Стул должен быть новым, неиспользованным.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