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автомобили
Год выпуска: 2024
Пробег: максимум 200 км
Минимальные внешние размеры (Д/Ш/В): 4430 мм x 1830 мм x 1550 мм
Колёсная база: не менее 2700 мм
Тип кузова: универсал
Дорожный просвет: не менее 140 мм
Количество мест: 5
Двигатель: электрический
Коробка передач: автоматическая
Аккумулятор: не менее 50 кВт·ч
Мощность: не менее 200 л.с. и не менее 300 Н·м
Пробег на одной зарядке: не менее 400 км
Зарядка от сети AC 220V (от 10% до 90%): максимум 9 часов
Минимальная комплектация:
Светодиодные фары (LED)
Лёгкосплавные диски не менее R17
Салон – обит кожей
Двухзонный климат-контроль
Круиз-контроль
Управление аудиосистемой с руля (Hands-free)
Датчик света
Центральный подлокотник с подстаканниками
Регулировка сидений
Электрические стеклоподъёмники
Электрорегулируемые и складывающиеся боковые зеркала
Пульт дистанционного управления
Обогрев заднего стекла
Центральный замок
Многофункциональный ключ (Intelligent Key)
Запуск двигателя системой Start/Stop
Аудиоразъёмы USB – не менее 6 динамиков
Язык программного обеспечения – английский и/или русский
Не менее одной розетки на 12 В
Bluetooth-система
Сенсорный экран не менее 12 дюймов
TPMS: система контроля давления в шинах
ABS: антиблокировочная тормозная система
ESP: система электронного контроля устойчивости
TCS: система контроля тяги
LDWS: система предупреждения о сходе с полосы
Система распознавания дорожной разметки
Парктроник задний
Камера кругового обзора 360° или камера заднего вида
Не менее 6 подушек безопасности
Наличие не менее одного зарядного устройства на 32А для зарядки автомобиля
Гарантии:
Общая гарантия: не менее 5 лет или 150,000 км пробега (в зависимости от того, что наступит раньше)
Гарантия на аккумулятор и электродвигатель: не менее 8 лет или 150,000 км пробега (в зависимости от того, что наступит раньше)
Наличие не менее одного сервисного центра в городе Ереван для гарантийного обслуживания. Цвет машины: чёрный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в течение 30 календарных дней с момента подписания соответствующего соглашения,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