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ԴԴ-ԷԱՃԱՊՁԲ-25/15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ամբողջը մեկում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ԴԴ-ԷԱՃԱՊՁԲ-25/15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ամբողջը մեկում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ամբողջը մեկում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ԴԴ-ԷԱՃԱՊՁԲ-25/15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ամբողջը մեկում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384.03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443.29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ԴԴ-ԷԱՃԱՊՁԲ-25/15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ԴԴ-ԷԱՃԱՊՁԲ-25/15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«ԴԴ-ԷԱՃԱՊՁԲ-25/15»*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«ԴԴ-ԷԱՃԱՊՁԲ-25/15»*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ԴԴ-ԷԱՃԱՊՁԲ-25/15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«ԴԴ-ԷԱՃԱՊՁԲ-25/15»*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Երաշխիքային ժամկետները սահմանված են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ապահովումները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	էկրան` առնվազն` 23.8 դյույմ, առնվազն` FHD (1920x1080) IPS
	պրոցեսոր`
առնվազն Intel Core i7 կամ AMD Ryzen,
 տուրբո հաճախականությունը՝ առնվազն` 4.9 GHz,
 առնվազն 10C,
 առնվազն 16T,
 առնվազն 24MB Smart Cache,
	Համակարգչի արտադրման տարեթիվը՝ առնվազն 2024թ․,
	օպերատիվ հիշողություն՝ առնվազն 16GB DDR4 3200MHz,
	հիշողություն` հիմնական կոշտ սկավառակ` առնվազն 1 x SSD 500GB, M.2 2280 Gen4 QLC, Երկրորդ հիշողություն` կոշտ սկավառակ՝ HDD կամ SSD՝ առնվազն 1TB,
	տեսաքարտ` ներկառուցված,
	կարգավորող ոտիկ՝ համակարգչի էկրանը բարձրացնելու, իջեցնելու և 180 աստիճան պտտելու հնարավորությամբ,
	LAN (10/100/1000)` ներկառուցված,
	WiFi` ներկառուցված,
	առնվազն BT ` ներկառուցված,
	առնվազն 5 USB բնիկներ,
որոնցից առնվազն` 2xUSB 3.2 Gen 2 Type A,
2xUSB 3.2 Gen 1 Type A, 1xUSB 2.0 Type-C Ports,
	առնվազն` 1xHDMI Out Port, 
	ականջակալների / խոսափողի համակցում,
	ներկառուցված բարձրախոս` առնվազն 2 x 2.5W,
	տեսախցիկ` առնվազն 2M FHD  Webcam,
	կրկնակի խոսափող,
	նախապես տեղադրված win 11 pro օպերացիոն համակարգ՝ լիցենզավորված և ակտիվացված (անժամկետ)․ Վաճառողը Գնորդին պետք է տրամադրի օպերացիոն համակարգի կոդերը։ 
	ստեղնաշար և համակարգչային մկնիկ (լարով կամ անլար): Պետք է արտադրված լինեն նույն արտադրողի կողմից: Պետք է կազմեն հավաքածուի մաս,
	օպտիկական սկավառակակիր (ներակառուցված կամ առանձին)
	հոսանքի սնուցման ադապտեր,
	համապատասխանություն` RoHS: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2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 յունների կատարման պայմանն ուժի մեջ մտնելու օրվանից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