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ՃԱԿ-ԷԱՃԱՊՁԲ-25/14 ծածկագրով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ՃԱԿ-ԷԱՃԱՊՁԲ-25/14 ծածկագրով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ՃԱԿ-ԷԱՃԱՊՁԲ-25/14 ծածկագրով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ՃԱԿ-ԷԱՃԱՊՁԲ-25/14 ծածկագրով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Մատակարարումը՝կտրոնային: Մատակարարումը՝ Կտրոնային տարբերակով լինելու դեպքում լիցքավորման հնարավորություն ապահովել ՀՀ բոլոր մարզերում, և ք. Երևանում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 Ապրանքների մատակարարման հասցեն ՀՀ Գեղարքունիքի մարզ, ք. Ճամբարակ Տ. Մեծի 17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