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10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GHEA Grapalat" w:hAnsi="GHEA Grapalat" w:cs="Sylfaen"/>
          <w:lang w:val="hy-AM"/>
        </w:rPr>
      </w:pPr>
      <w:r>
        <w:rPr>
          <w:rFonts w:cs="Sylfaen" w:ascii="GHEA Grapalat" w:hAnsi="GHEA Grapalat"/>
          <w:lang w:val="hy-AM"/>
        </w:rPr>
        <w:t>ТЕХНИЧЕСКИЕ ХАРАКТЕРИСТИКИ</w:t>
      </w:r>
    </w:p>
    <w:p>
      <w:pPr>
        <w:pStyle w:val="Normal"/>
        <w:spacing w:lineRule="auto" w:line="240" w:before="0" w:after="0"/>
        <w:ind w:start="360" w:hanging="0"/>
        <w:rPr>
          <w:rFonts w:ascii="GHEA Grapalat" w:hAnsi="GHEA Grapalat" w:cs="GHEA Grapalat"/>
          <w:b/>
          <w:b/>
          <w:lang w:val="hy-AM"/>
        </w:rPr>
      </w:pPr>
      <w:r>
        <w:rPr>
          <w:rFonts w:cs="GHEA Grapalat" w:ascii="GHEA Grapalat" w:hAnsi="GHEA Grapalat"/>
          <w:b/>
          <w:lang w:val="hy-AM"/>
        </w:rPr>
      </w:r>
    </w:p>
    <w:tbl>
      <w:tblPr>
        <w:tblW w:w="1538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60"/>
        <w:gridCol w:w="1020"/>
        <w:gridCol w:w="2020"/>
        <w:gridCol w:w="5265"/>
        <w:gridCol w:w="6120"/>
      </w:tblGrid>
      <w:tr>
        <w:trPr>
          <w:trHeight w:val="116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Номер размера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GHEA Grapalat" w:hAnsi="GHEA Grapalat"/>
                <w:b/>
                <w:bCs/>
                <w:sz w:val="16"/>
                <w:szCs w:val="16"/>
              </w:rPr>
              <w:t>КПВ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GHEA Grapalat" w:hAnsi="GHEA Grapalat"/>
                <w:b/>
                <w:bCs/>
                <w:sz w:val="16"/>
                <w:szCs w:val="16"/>
              </w:rPr>
              <w:t>Имя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b/>
                <w:b/>
                <w:bCs/>
                <w:sz w:val="16"/>
                <w:szCs w:val="16"/>
              </w:rPr>
            </w:pPr>
            <w:r>
              <w:rPr>
                <w:rFonts w:cs="Calibri" w:ascii="GHEA Grapalat" w:hAnsi="GHEA Grapalat"/>
                <w:b/>
                <w:bCs/>
                <w:sz w:val="16"/>
                <w:szCs w:val="16"/>
              </w:rPr>
              <w:t>Отредактировано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b/>
                <w:bCs/>
                <w:color w:val="000000"/>
                <w:sz w:val="16"/>
                <w:szCs w:val="16"/>
              </w:rPr>
              <w:t>Изображение</w:t>
            </w:r>
          </w:p>
        </w:tc>
      </w:tr>
      <w:tr>
        <w:trPr>
          <w:trHeight w:val="197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24911300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клей: жидкий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sz w:val="16"/>
                <w:szCs w:val="16"/>
              </w:rPr>
              <w:t>Нейминг</w:t>
            </w:r>
            <w:r>
              <w:rPr>
                <w:rFonts w:eastAsia="Microsoft JhengHei" w:cs="Microsoft JhengHei" w:ascii="Microsoft JhengHei" w:hAnsi="Microsoft JhengHei"/>
                <w:sz w:val="16"/>
                <w:szCs w:val="16"/>
              </w:rPr>
              <w:t>․</w:t>
            </w:r>
            <w:r>
              <w:rPr>
                <w:rFonts w:cs="Calibri" w:ascii="GHEA Grapalat" w:hAnsi="GHEA Grapalat"/>
                <w:sz w:val="16"/>
                <w:szCs w:val="16"/>
              </w:rPr>
              <w:t xml:space="preserve">Клей для укладки паркета Описание</w:t>
              <w:br/>
              <w:br/>
            </w:r>
            <w:r>
              <w:rPr>
                <w:rFonts w:eastAsia="Microsoft JhengHei" w:cs="Microsoft JhengHei" w:ascii="Microsoft JhengHei" w:hAnsi="Microsoft JhengHei"/>
                <w:sz w:val="16"/>
                <w:szCs w:val="16"/>
              </w:rPr>
              <w:t>․</w:t>
            </w:r>
            <w:r>
              <w:rPr>
                <w:rFonts w:cs="Calibri" w:ascii="GHEA Grapalat" w:hAnsi="GHEA Grapalat"/>
                <w:sz w:val="16"/>
                <w:szCs w:val="16"/>
              </w:rPr>
              <w:br/>
              <w:t>Специализированный высококачественный клей, предназначенный для приклеивания деревянного паркета на бетон, цемент или неровные основания. Он должен обеспечивать прочное и эластичное сцепление, не содержать воды и растворителей, не вызывать деформацию древесины. Цена за квадратный метр.</w:t>
              <w:br/>
            </w:r>
            <w:r>
              <w:rPr>
                <w:rFonts w:eastAsia="Microsoft JhengHei" w:cs="Microsoft JhengHei" w:ascii="Microsoft JhengHei" w:hAnsi="Microsoft JhengHei"/>
                <w:sz w:val="16"/>
                <w:szCs w:val="16"/>
              </w:rPr>
              <w:t>․</w:t>
            </w:r>
            <w:r>
              <w:rPr>
                <w:rFonts w:cs="Calibri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GHEA Grapalat" w:ascii="GHEA Grapalat" w:hAnsi="GHEA Grapalat"/>
                <w:sz w:val="16"/>
                <w:szCs w:val="16"/>
              </w:rPr>
              <w:t>около</w:t>
            </w:r>
            <w:r>
              <w:rPr>
                <w:rFonts w:cs="Calibri" w:ascii="GHEA Grapalat" w:hAnsi="GHEA Grapalat"/>
                <w:sz w:val="16"/>
                <w:szCs w:val="16"/>
              </w:rPr>
              <w:t xml:space="preserve">. 1,0 - 1,5</w:t>
            </w:r>
            <w:r>
              <w:rPr>
                <w:rFonts w:cs="GHEA Grapalat" w:ascii="GHEA Grapalat" w:hAnsi="GHEA Grapalat"/>
                <w:sz w:val="16"/>
                <w:szCs w:val="16"/>
              </w:rPr>
              <w:t>кг</w:t>
            </w:r>
            <w:r>
              <w:rPr>
                <w:rFonts w:cs="Calibri" w:ascii="GHEA Grapalat" w:hAnsi="GHEA Grapalat"/>
                <w:sz w:val="16"/>
                <w:szCs w:val="16"/>
              </w:rPr>
              <w:t xml:space="preserve">  Время высыхания для ходьбы/укладки: ок. 24 часа. Готовность к полной загрузке: ок. 48 часов. Без запаха или с легким запахом. Класс огнестойкости согласно стандартам EN. Упаковка: пластиковый контейнер: до 20 кг. Срок годности: не менее 8 месяцев с даты поставки продукта. Stauf SPU 460 или Wakol MS 230.</w:t>
              <w:br/>
              <w:br/>
              <w:br/>
              <w:br/>
              <w:br/>
              <w:br/>
              <w:br/>
              <w:br/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-</w:t>
            </w:r>
          </w:p>
        </w:tc>
      </w:tr>
      <w:tr>
        <w:trPr>
          <w:trHeight w:val="486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sz w:val="16"/>
                <w:szCs w:val="16"/>
              </w:rPr>
              <w:t>24911300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клей: жидкий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/>
            </w:pPr>
            <w:r>
              <w:rPr>
                <w:rFonts w:cs="Calibri" w:ascii="GHEA Grapalat" w:hAnsi="GHEA Grapalat"/>
                <w:sz w:val="16"/>
                <w:szCs w:val="16"/>
              </w:rPr>
              <w:t>Клей для монтажа черепицыКлей должен иметь однородную, прочную структуру, быть бежевого или светло-желтого цветаКлей должен иметь следующие технические характеристики:Плотность: не менее 1,3 г/см³Время открытой выдержки (допустимое время высыхания на воздухе): 10–20 минут (при температуре 25°C и относительной влажности воздуха 50%)Время полного отверждения: до 48 часовКлей должен поставляться в герметично закрытой, неповрежденной пластиковой таре весом до 350 граммСрок годности: не менее 8 месяцев с даты поставкиRepacoll S или Wakol 245</w:t>
              <w:br/>
              <w:br/>
              <w:br/>
              <w:br/>
              <w:br/>
              <w:br/>
              <w:br/>
              <w:br/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-</w:t>
            </w:r>
          </w:p>
        </w:tc>
      </w:tr>
      <w:tr>
        <w:trPr>
          <w:trHeight w:val="378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24911900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клей для плитки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sz w:val="16"/>
                <w:szCs w:val="16"/>
              </w:rPr>
              <w:t>Клей для плиткиОснова: цементная сухая растворная смесьСоотношение компонентов: примерно 6-7 литров воды на 25 кг смесиВремя полного схватывания: 24 часа, с высокой устойчивостью к раскалываниюАдгезия: ≥ 0,5 МПа (согласно стандарту EN 12004, класс C1)Клей должен поставляться в неповрежденных бумажных или полиэтиленовых мешках заводского изготовления весом 25 кгСрок годности: не менее 8 месяцев с даты поставки продукта Shen T1 или Litokol K17</w:t>
              <w:br/>
              <w:br/>
              <w:br/>
              <w:br/>
              <w:br/>
              <w:br/>
              <w:br/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</w:r>
          </w:p>
        </w:tc>
      </w:tr>
      <w:tr>
        <w:trPr>
          <w:trHeight w:val="132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31512420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прожектор с направленным светом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Встраиваемый точечный светильник, состоящий из двух частей. Встраиваемая рамка белого цвета, источник света: 220 В, IP 30, 4000 К.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398905" cy="1428750"/>
                  <wp:effectExtent l="0" t="0" r="0" b="0"/>
                  <wp:docPr id="1" name="Image1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26" t="-25" r="-26" b="-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216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31521540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настенный светильник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Настенный светильник предназначен для освещения картин, висящих на стене. Материал: металл (никель или хром), цвет: серебристый/металлический блеск, тип лампы: светодиодная, мощность 8-18 Вт, цветовая температура 4000 К, цветовая температура 220 В, световой поток 600-1500 люмен, размеры: длина 55 см, расстояние от стены 16 см. Способ установки: настенный, с помощью основания, с помощью шурупов. Образец соответствует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922780" cy="981710"/>
                  <wp:effectExtent l="0" t="0" r="0" b="0"/>
                  <wp:docPr id="2" name="Image2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19" t="-37" r="-19" b="-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780" cy="981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405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31521540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настенный светильник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 xml:space="preserve">Настенный светильник классический, с хрустальными подвесками в форме капли, декоративный, материал: металл (хром, бронза или никелированный), текстиль: хрустальное стекло, абажур с проволочным каркасом и тканью. Количество лампочек: 1, с цоколем E14 или E27 (обычная винтовая лампа), также возможно использование светодиодных люминесцентных или клеммных ламп. Диапазон рабочего напряжения: 220 В, 50 Гц. Мощность до 40 Вт, площадь освещения: 3-5 кв. м. Размеры: высота: 40-45 см, ширина: 20-25 см, расстояние от стены: 17-23 см, вес не менее 1,6 кг. Способ крепления: настенный, с помощью цоколя, с помощью шурупов. Цвет: серебристый (полуматовый).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294765" cy="1294765"/>
                  <wp:effectExtent l="0" t="0" r="0" b="0"/>
                  <wp:docPr id="3" name="Image3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28" t="-28" r="-28" b="-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12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243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31531400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факел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Люстра для комнаты, потолочный светильник. Тип источника света: светодиодный, Напряжение: 220 В, Мощность: 72 Вт, Световой поток: 7200–8600 люмен, Цветовая температура: 4000 К, Бесшумный, Среднее время работы: 20 000–50 000 часов. Диаметр: 50 см, Высота от потолка: до 10 см, Площадь освещения: 10–25 кв. м. Способ установки: на потолок с помощью основания, с помощью шурупов. Образец соответствует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494790" cy="1313815"/>
                  <wp:effectExtent l="0" t="0" r="0" b="0"/>
                  <wp:docPr id="4" name="Image4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24" t="-27" r="-24" b="-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131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270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31531400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факел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 xml:space="preserve">Люстра для комнаты, подвесная к потолку. Тип ламп: цоколь E14 или E27 со сменными лампочками, количество ламп: 5-12 шт., общая мощность: 60-120 Вт, напряжение: 220 В, цвет свечения: 4000 К, материал: хрустальные элементы, металл. Диаметр: не менее 60 см, высота: до 15 см, освещаемая площадь: 20-35 кв. м. Способ крепления: потолочный, на основание, с помощью шурупов.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247775" cy="1247775"/>
                  <wp:effectExtent l="0" t="0" r="0" b="0"/>
                  <wp:docPr id="5" name="Image5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29" t="-29" r="-29" b="-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297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31531400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факел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GHEA Grapalat" w:hAnsi="GHEA Grapalat"/>
                <w:sz w:val="16"/>
                <w:szCs w:val="16"/>
              </w:rPr>
              <w:t xml:space="preserve">Люстра для комнаты, подвесная к потолку. Классический стиль, с золотистым металлическим каркасом, 7-10 стеклянными плафонами, с каплевидными хрустальными подвесками. Количество лампочек: 7-10, тип цоколя: E14 или E27, общая мощность: 60-120 Вт (в зависимости от типа лампочек), площадь освещения: 25-40 кв. м, диаметр: 65-80 см, высота: 50-70 см без учета цепи, способ подвешивания: на цепи или штанге, материалы: металл, стекло, хрусталь, цвет: золотистый, чаши стеклянные.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437005" cy="1437005"/>
                  <wp:effectExtent l="0" t="0" r="0" b="0"/>
                  <wp:docPr id="6" name="Image6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5" t="-25" r="-25" b="-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143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243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39531600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напольные покрытия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 xml:space="preserve">Ковролин: "Modulyss" или "Milliken". Класс износостойкости 33, огнестойкий, звукоизоляционный, светостойкий, подходит для использования в инвалидных колясках. Толщина: 6 мм +/- 5%, высота ворса: 3 мм +/- 5%, неразрезанное полотно. Общий вес: 4300 г/м² +/- 5%. Цвет и размеры согласовываются с заказчиком заранее. Образец по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856740" cy="1390650"/>
                  <wp:effectExtent l="0" t="0" r="0" b="0"/>
                  <wp:docPr id="7" name="Image7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19" t="-26" r="-19" b="-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132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44112180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паркет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 xml:space="preserve">Паркетная доска, промасленная, трёхслойная, дуб, толщина: 14 мм, ширина: 138 мм, длина: 2100 мм, допустимое отклонение ± 3% (паркетная доска).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1648460" cy="592455"/>
                  <wp:effectExtent l="0" t="0" r="0" b="0"/>
                  <wp:docPr id="8" name="Image8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15" t="-42" r="-15" b="-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162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44112340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плоские каменные плиты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Гранит, толщина 2 см, минимальный размер плитки 600*1200 мм. Образец согласно фотографии. Резка и фрезеровка по желанию заказчика, цвет и рисунок согласно фотографии. Образец необходимо предварительно согласовать с заказчиком. Согласно фотографии.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drawing>
                <wp:inline distT="0" distB="0" distL="0" distR="0">
                  <wp:extent cx="2024380" cy="1601470"/>
                  <wp:effectExtent l="0" t="0" r="0" b="0"/>
                  <wp:docPr id="9" name="Image9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-9" t="-11" r="-9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380" cy="160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color w:val="000000"/>
                <w:sz w:val="16"/>
                <w:szCs w:val="16"/>
              </w:rPr>
              <w:t> </w:t>
            </w:r>
          </w:p>
        </w:tc>
      </w:tr>
      <w:tr>
        <w:trPr>
          <w:trHeight w:val="1320" w:hRule="atLeast"/>
        </w:trPr>
        <w:tc>
          <w:tcPr>
            <w:tcW w:w="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cs="Calibri"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44171300</w:t>
            </w:r>
          </w:p>
        </w:tc>
        <w:tc>
          <w:tcPr>
            <w:tcW w:w="20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eastAsia="GHEA Grapalat" w:cs="GHEA Grapalat"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cs="Calibri" w:ascii="GHEA Grapalat" w:hAnsi="GHEA Grapalat"/>
                <w:sz w:val="16"/>
                <w:szCs w:val="16"/>
              </w:rPr>
              <w:t>ленты /строительные/</w:t>
            </w:r>
          </w:p>
        </w:tc>
        <w:tc>
          <w:tcPr>
            <w:tcW w:w="5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t>Панель МДФ, размеры: 16*80*2800 мм ± 3%. Цвет: белый. С двухлинейной фрезеровкой. Образец согласно изображению.</w:t>
            </w:r>
          </w:p>
        </w:tc>
        <w:tc>
          <w:tcPr>
            <w:tcW w:w="61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cs="Calibri" w:ascii="GHEA Grapalat" w:hAnsi="GHEA Grapalat"/>
                <w:sz w:val="16"/>
                <w:szCs w:val="16"/>
              </w:rPr>
              <w:drawing>
                <wp:inline distT="0" distB="0" distL="0" distR="0">
                  <wp:extent cx="1009015" cy="1170940"/>
                  <wp:effectExtent l="0" t="0" r="0" b="0"/>
                  <wp:docPr id="10" name="Image10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-36" t="-31" r="-36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17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sz w:val="16"/>
                <w:szCs w:val="16"/>
              </w:rPr>
              <w:t> </w:t>
            </w:r>
          </w:p>
        </w:tc>
      </w:tr>
    </w:tbl>
    <w:p>
      <w:pPr>
        <w:pStyle w:val="Normal"/>
        <w:spacing w:lineRule="auto" w:line="240" w:before="0" w:after="0"/>
        <w:ind w:start="360" w:hanging="0"/>
        <w:rPr>
          <w:rFonts w:ascii="GHEA Grapalat" w:hAnsi="GHEA Grapalat" w:cs="GHEA Grapalat"/>
          <w:b/>
          <w:b/>
        </w:rPr>
      </w:pPr>
      <w:r>
        <w:rPr>
          <w:rFonts w:cs="GHEA Grapalat" w:ascii="GHEA Grapalat" w:hAnsi="GHEA Grapalat"/>
          <w:b/>
        </w:rPr>
      </w:r>
    </w:p>
    <w:p>
      <w:pPr>
        <w:pStyle w:val="Normal"/>
        <w:spacing w:lineRule="auto" w:line="240" w:before="0" w:after="0"/>
        <w:ind w:start="360" w:hanging="0"/>
        <w:rPr>
          <w:rFonts w:ascii="GHEA Grapalat" w:hAnsi="GHEA Grapalat" w:cs="GHEA Grapalat"/>
          <w:b/>
          <w:b/>
        </w:rPr>
      </w:pPr>
      <w:r>
        <w:rPr>
          <w:rFonts w:cs="GHEA Grapalat" w:ascii="GHEA Grapalat" w:hAnsi="GHEA Grapalat"/>
          <w:b/>
        </w:rPr>
      </w:r>
    </w:p>
    <w:p>
      <w:pPr>
        <w:pStyle w:val="Normal"/>
        <w:numPr>
          <w:ilvl w:val="0"/>
          <w:numId w:val="2"/>
        </w:numPr>
        <w:spacing w:before="0" w:after="0"/>
        <w:rPr>
          <w:rFonts w:ascii="GHEA Grapalat" w:hAnsi="GHEA Grapalat" w:cs="GHEA Grapalat"/>
          <w:b/>
          <w:b/>
          <w:lang w:val="hy-AM"/>
        </w:rPr>
      </w:pPr>
      <w:r>
        <w:rPr>
          <w:rFonts w:cs="GHEA Grapalat" w:ascii="GHEA Grapalat" w:hAnsi="GHEA Grapalat"/>
          <w:b/>
          <w:lang w:val="hy-AM"/>
        </w:rPr>
        <w:t>Товар должен быть новым, неиспользованным. Доставка и разгрузка товара осуществляется Поставщиком.</w:t>
      </w:r>
    </w:p>
    <w:p>
      <w:pPr>
        <w:pStyle w:val="Normal"/>
        <w:numPr>
          <w:ilvl w:val="0"/>
          <w:numId w:val="2"/>
        </w:numPr>
        <w:spacing w:before="0" w:after="0"/>
        <w:rPr>
          <w:rFonts w:ascii="GHEA Grapalat" w:hAnsi="GHEA Grapalat" w:cs="GHEA Grapalat"/>
          <w:b/>
          <w:b/>
          <w:lang w:val="hy-AM"/>
        </w:rPr>
      </w:pPr>
      <w:r>
        <w:rPr>
          <w:rFonts w:cs="GHEA Grapalat" w:ascii="GHEA Grapalat" w:hAnsi="GHEA Grapalat"/>
          <w:b/>
          <w:lang w:val="hy-AM"/>
        </w:rPr>
        <w:t>Участник должен предоставить информацию о товарном знаке, бренде и производителе предлагаемого продукта.</w:t>
      </w:r>
    </w:p>
    <w:p>
      <w:pPr>
        <w:pStyle w:val="Normal"/>
        <w:numPr>
          <w:ilvl w:val="0"/>
          <w:numId w:val="2"/>
        </w:numPr>
        <w:spacing w:before="0" w:after="0"/>
        <w:rPr>
          <w:rFonts w:ascii="GHEA Grapalat" w:hAnsi="GHEA Grapalat" w:cs="GHEA Grapalat"/>
          <w:b/>
          <w:b/>
          <w:lang w:val="hy-AM"/>
        </w:rPr>
      </w:pPr>
      <w:r>
        <w:rPr>
          <w:rFonts w:cs="GHEA Grapalat" w:ascii="GHEA Grapalat" w:hAnsi="GHEA Grapalat"/>
          <w:b/>
          <w:lang w:val="hy-AM"/>
        </w:rPr>
        <w:t>Представленные технические условия являются минимальными условиями, приемлемы более улучшенные условия.</w:t>
      </w:r>
    </w:p>
    <w:p>
      <w:pPr>
        <w:pStyle w:val="Normal"/>
        <w:numPr>
          <w:ilvl w:val="0"/>
          <w:numId w:val="2"/>
        </w:numPr>
        <w:spacing w:before="0" w:after="0"/>
        <w:rPr>
          <w:rFonts w:ascii="GHEA Grapalat" w:hAnsi="GHEA Grapalat" w:cs="GHEA Grapalat"/>
          <w:b/>
          <w:b/>
          <w:lang w:val="hy-AM"/>
        </w:rPr>
      </w:pPr>
      <w:r>
        <w:rPr>
          <w:rFonts w:cs="GHEA Grapalat" w:ascii="GHEA Grapalat" w:hAnsi="GHEA Grapalat"/>
          <w:b/>
          <w:lang w:val="hy-AM"/>
        </w:rPr>
        <w:t>При необходимости заказчик может запросить соответствующие образцы.</w:t>
      </w:r>
    </w:p>
    <w:sectPr>
      <w:type w:val="nextPage"/>
      <w:pgSz w:orient="landscape" w:w="16838" w:h="11906"/>
      <w:pgMar w:left="259" w:right="259" w:header="0" w:top="720" w:footer="0" w:bottom="63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0" w:characterSet="windows-1252"/>
    <w:family w:val="swiss"/>
    <w:pitch w:val="variable"/>
  </w:font>
  <w:font w:name="Aptos Display">
    <w:charset w:val="00" w:characterSet="windows-1252"/>
    <w:family w:val="swiss"/>
    <w:pitch w:val="variable"/>
  </w:font>
  <w:font w:name="Arial LatArm">
    <w:charset w:val="00" w:characterSet="windows-1252"/>
    <w:family w:val="swiss"/>
    <w:pitch w:val="variable"/>
  </w:font>
  <w:font w:name="Symbol">
    <w:charset w:val="00" w:characterSet="windows-1252"/>
    <w:family w:val="swiss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GQPLXZ+DIN-Regular">
    <w:altName w:val="Arial"/>
    <w:charset w:val="00" w:characterSet="windows-1252"/>
    <w:family w:val="swiss"/>
    <w:pitch w:val="default"/>
  </w:font>
  <w:font w:name="CKBNTH+DIN-Medium">
    <w:altName w:val="Arial"/>
    <w:charset w:val="00" w:characterSet="windows-1252"/>
    <w:family w:val="swiss"/>
    <w:pitch w:val="default"/>
  </w:font>
  <w:font w:name="Times Armenian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IGJXZV+ZapfDingbats">
    <w:altName w:val="Yu Gothic UI"/>
    <w:charset w:val="80"/>
    <w:family w:val="auto"/>
    <w:pitch w:val="default"/>
  </w:font>
  <w:font w:name="GHEA Grapalat">
    <w:charset w:val="00" w:characterSet="windows-1252"/>
    <w:family w:val="modern"/>
    <w:pitch w:val="variable"/>
  </w:font>
  <w:font w:name="Microsoft JhengHei">
    <w:charset w:val="8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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ptos Display" w:hAnsi="Aptos Display" w:eastAsia="Times New Roman" w:cs="Times New Roman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0" w:after="0"/>
      <w:jc w:val="both"/>
      <w:outlineLvl w:val="1"/>
    </w:pPr>
    <w:rPr>
      <w:rFonts w:ascii="Arial LatArm" w:hAnsi="Arial LatArm" w:cs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ptos Display" w:hAnsi="Aptos Display" w:eastAsia="Times New Roman" w:cs="Times New Roman"/>
      <w:b/>
      <w:bCs/>
      <w:sz w:val="26"/>
      <w:szCs w:val="26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>
      <w:rFonts w:ascii="Wingdings" w:hAnsi="Wingdings" w:cs="Wingdings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14z0">
    <w:name w:val="WW8Num14z0"/>
    <w:qFormat/>
    <w:rPr>
      <w:rFonts w:ascii="Symbol" w:hAnsi="Symbol" w:cs="Symbol"/>
      <w:sz w:val="20"/>
    </w:rPr>
  </w:style>
  <w:style w:type="character" w:styleId="WW8Num14z1">
    <w:name w:val="WW8Num14z1"/>
    <w:qFormat/>
    <w:rPr>
      <w:rFonts w:ascii="Courier New" w:hAnsi="Courier New" w:cs="Courier New"/>
      <w:sz w:val="20"/>
    </w:rPr>
  </w:style>
  <w:style w:type="character" w:styleId="WW8Num14z2">
    <w:name w:val="WW8Num14z2"/>
    <w:qFormat/>
    <w:rPr>
      <w:rFonts w:ascii="Wingdings" w:hAnsi="Wingdings" w:cs="Wingdings"/>
      <w:sz w:val="20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  <w:sz w:val="20"/>
    </w:rPr>
  </w:style>
  <w:style w:type="character" w:styleId="WW8Num16z1">
    <w:name w:val="WW8Num16z1"/>
    <w:qFormat/>
    <w:rPr>
      <w:rFonts w:ascii="Courier New" w:hAnsi="Courier New" w:cs="Courier New"/>
      <w:sz w:val="20"/>
    </w:rPr>
  </w:style>
  <w:style w:type="character" w:styleId="WW8Num16z2">
    <w:name w:val="WW8Num16z2"/>
    <w:qFormat/>
    <w:rPr>
      <w:rFonts w:ascii="Wingdings" w:hAnsi="Wingdings" w:cs="Wingdings"/>
      <w:sz w:val="20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20z2">
    <w:name w:val="WW8Num20z2"/>
    <w:qFormat/>
    <w:rPr>
      <w:rFonts w:ascii="Wingdings" w:hAnsi="Wingdings" w:cs="Wingdings"/>
      <w:sz w:val="20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22z0">
    <w:name w:val="WW8Num22z0"/>
    <w:qFormat/>
    <w:rPr>
      <w:rFonts w:ascii="Symbol" w:hAnsi="Symbol" w:cs="Symbol"/>
      <w:sz w:val="20"/>
    </w:rPr>
  </w:style>
  <w:style w:type="character" w:styleId="WW8Num22z1">
    <w:name w:val="WW8Num22z1"/>
    <w:qFormat/>
    <w:rPr>
      <w:rFonts w:ascii="Courier New" w:hAnsi="Courier New" w:cs="Courier New"/>
      <w:sz w:val="20"/>
    </w:rPr>
  </w:style>
  <w:style w:type="character" w:styleId="WW8Num22z2">
    <w:name w:val="WW8Num22z2"/>
    <w:qFormat/>
    <w:rPr>
      <w:rFonts w:ascii="Wingdings" w:hAnsi="Wingdings" w:cs="Wingdings"/>
      <w:sz w:val="20"/>
    </w:rPr>
  </w:style>
  <w:style w:type="character" w:styleId="WW8Num23z0">
    <w:name w:val="WW8Num23z0"/>
    <w:qFormat/>
    <w:rPr>
      <w:rFonts w:ascii="Symbol" w:hAnsi="Symbol" w:cs="Symbol"/>
      <w:sz w:val="20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3z2">
    <w:name w:val="WW8Num23z2"/>
    <w:qFormat/>
    <w:rPr>
      <w:rFonts w:ascii="Wingdings" w:hAnsi="Wingdings" w:cs="Wingdings"/>
      <w:sz w:val="20"/>
    </w:rPr>
  </w:style>
  <w:style w:type="character" w:styleId="WW8Num24z0">
    <w:name w:val="WW8Num24z0"/>
    <w:qFormat/>
    <w:rPr>
      <w:rFonts w:ascii="Symbol" w:hAnsi="Symbol" w:cs="Symbol"/>
      <w:sz w:val="20"/>
    </w:rPr>
  </w:style>
  <w:style w:type="character" w:styleId="WW8Num24z1">
    <w:name w:val="WW8Num24z1"/>
    <w:qFormat/>
    <w:rPr>
      <w:rFonts w:ascii="Courier New" w:hAnsi="Courier New" w:cs="Courier New"/>
      <w:sz w:val="20"/>
    </w:rPr>
  </w:style>
  <w:style w:type="character" w:styleId="WW8Num24z2">
    <w:name w:val="WW8Num24z2"/>
    <w:qFormat/>
    <w:rPr>
      <w:rFonts w:ascii="Wingdings" w:hAnsi="Wingdings" w:cs="Wingdings"/>
      <w:sz w:val="20"/>
    </w:rPr>
  </w:style>
  <w:style w:type="character" w:styleId="WW8Num25z0">
    <w:name w:val="WW8Num25z0"/>
    <w:qFormat/>
    <w:rPr>
      <w:rFonts w:ascii="Symbol" w:hAnsi="Symbol" w:cs="Symbol"/>
      <w:sz w:val="20"/>
    </w:rPr>
  </w:style>
  <w:style w:type="character" w:styleId="WW8Num25z1">
    <w:name w:val="WW8Num25z1"/>
    <w:qFormat/>
    <w:rPr>
      <w:rFonts w:ascii="Courier New" w:hAnsi="Courier New" w:cs="Courier New"/>
      <w:sz w:val="20"/>
    </w:rPr>
  </w:style>
  <w:style w:type="character" w:styleId="WW8Num25z2">
    <w:name w:val="WW8Num25z2"/>
    <w:qFormat/>
    <w:rPr>
      <w:rFonts w:ascii="Wingdings" w:hAnsi="Wingdings" w:cs="Wingdings"/>
      <w:sz w:val="20"/>
    </w:rPr>
  </w:style>
  <w:style w:type="character" w:styleId="WW8Num26z0">
    <w:name w:val="WW8Num26z0"/>
    <w:qFormat/>
    <w:rPr>
      <w:rFonts w:ascii="Symbol" w:hAnsi="Symbol" w:cs="Symbol"/>
      <w:sz w:val="20"/>
    </w:rPr>
  </w:style>
  <w:style w:type="character" w:styleId="WW8Num26z1">
    <w:name w:val="WW8Num26z1"/>
    <w:qFormat/>
    <w:rPr>
      <w:rFonts w:ascii="Courier New" w:hAnsi="Courier New" w:cs="Courier New"/>
      <w:sz w:val="20"/>
    </w:rPr>
  </w:style>
  <w:style w:type="character" w:styleId="WW8Num26z2">
    <w:name w:val="WW8Num26z2"/>
    <w:qFormat/>
    <w:rPr>
      <w:rFonts w:ascii="Wingdings" w:hAnsi="Wingdings" w:cs="Wingdings"/>
      <w:sz w:val="20"/>
    </w:rPr>
  </w:style>
  <w:style w:type="character" w:styleId="WW8Num27z0">
    <w:name w:val="WW8Num27z0"/>
    <w:qFormat/>
    <w:rPr>
      <w:rFonts w:ascii="Symbol" w:hAnsi="Symbol" w:cs="Symbol"/>
      <w:sz w:val="20"/>
    </w:rPr>
  </w:style>
  <w:style w:type="character" w:styleId="WW8Num27z1">
    <w:name w:val="WW8Num27z1"/>
    <w:qFormat/>
    <w:rPr>
      <w:rFonts w:ascii="Courier New" w:hAnsi="Courier New" w:cs="Courier New"/>
      <w:sz w:val="20"/>
    </w:rPr>
  </w:style>
  <w:style w:type="character" w:styleId="WW8Num27z2">
    <w:name w:val="WW8Num27z2"/>
    <w:qFormat/>
    <w:rPr>
      <w:rFonts w:ascii="Wingdings" w:hAnsi="Wingdings" w:cs="Wingdings"/>
      <w:sz w:val="20"/>
    </w:rPr>
  </w:style>
  <w:style w:type="character" w:styleId="WW8Num28z0">
    <w:name w:val="WW8Num28z0"/>
    <w:qFormat/>
    <w:rPr>
      <w:rFonts w:ascii="Symbol" w:hAnsi="Symbol" w:cs="Symbol"/>
      <w:sz w:val="20"/>
    </w:rPr>
  </w:style>
  <w:style w:type="character" w:styleId="WW8Num28z1">
    <w:name w:val="WW8Num28z1"/>
    <w:qFormat/>
    <w:rPr>
      <w:rFonts w:ascii="Courier New" w:hAnsi="Courier New" w:cs="Courier New"/>
      <w:sz w:val="20"/>
    </w:rPr>
  </w:style>
  <w:style w:type="character" w:styleId="WW8Num28z2">
    <w:name w:val="WW8Num28z2"/>
    <w:qFormat/>
    <w:rPr>
      <w:rFonts w:ascii="Wingdings" w:hAnsi="Wingdings" w:cs="Wingdings"/>
      <w:sz w:val="20"/>
    </w:rPr>
  </w:style>
  <w:style w:type="character" w:styleId="WW8Num29z0">
    <w:name w:val="WW8Num29z0"/>
    <w:qFormat/>
    <w:rPr>
      <w:rFonts w:ascii="Symbol" w:hAnsi="Symbol" w:cs="Symbol"/>
      <w:sz w:val="20"/>
    </w:rPr>
  </w:style>
  <w:style w:type="character" w:styleId="WW8Num29z1">
    <w:name w:val="WW8Num29z1"/>
    <w:qFormat/>
    <w:rPr>
      <w:rFonts w:ascii="Courier New" w:hAnsi="Courier New" w:cs="Courier New"/>
      <w:sz w:val="20"/>
    </w:rPr>
  </w:style>
  <w:style w:type="character" w:styleId="WW8Num29z2">
    <w:name w:val="WW8Num29z2"/>
    <w:qFormat/>
    <w:rPr>
      <w:rFonts w:ascii="Wingdings" w:hAnsi="Wingdings" w:cs="Wingdings"/>
      <w:sz w:val="20"/>
    </w:rPr>
  </w:style>
  <w:style w:type="character" w:styleId="WW8Num30z0">
    <w:name w:val="WW8Num30z0"/>
    <w:qFormat/>
    <w:rPr>
      <w:rFonts w:ascii="Symbol" w:hAnsi="Symbol" w:cs="Symbol"/>
      <w:sz w:val="20"/>
    </w:rPr>
  </w:style>
  <w:style w:type="character" w:styleId="WW8Num30z1">
    <w:name w:val="WW8Num30z1"/>
    <w:qFormat/>
    <w:rPr>
      <w:rFonts w:ascii="Courier New" w:hAnsi="Courier New" w:cs="Courier New"/>
      <w:sz w:val="20"/>
    </w:rPr>
  </w:style>
  <w:style w:type="character" w:styleId="WW8Num30z2">
    <w:name w:val="WW8Num30z2"/>
    <w:qFormat/>
    <w:rPr>
      <w:rFonts w:ascii="Wingdings" w:hAnsi="Wingdings" w:cs="Wingdings"/>
      <w:sz w:val="20"/>
    </w:rPr>
  </w:style>
  <w:style w:type="character" w:styleId="WW8Num31z0">
    <w:name w:val="WW8Num31z0"/>
    <w:qFormat/>
    <w:rPr>
      <w:rFonts w:ascii="Symbol" w:hAnsi="Symbol" w:cs="Symbol"/>
      <w:sz w:val="20"/>
    </w:rPr>
  </w:style>
  <w:style w:type="character" w:styleId="WW8Num31z1">
    <w:name w:val="WW8Num31z1"/>
    <w:qFormat/>
    <w:rPr>
      <w:rFonts w:ascii="Courier New" w:hAnsi="Courier New" w:cs="Courier New"/>
      <w:sz w:val="20"/>
    </w:rPr>
  </w:style>
  <w:style w:type="character" w:styleId="WW8Num31z2">
    <w:name w:val="WW8Num31z2"/>
    <w:qFormat/>
    <w:rPr>
      <w:rFonts w:ascii="Wingdings" w:hAnsi="Wingdings" w:cs="Wingdings"/>
      <w:sz w:val="20"/>
    </w:rPr>
  </w:style>
  <w:style w:type="character" w:styleId="WW8Num32z0">
    <w:name w:val="WW8Num32z0"/>
    <w:qFormat/>
    <w:rPr>
      <w:rFonts w:ascii="Symbol" w:hAnsi="Symbol" w:cs="Symbol"/>
      <w:sz w:val="20"/>
    </w:rPr>
  </w:style>
  <w:style w:type="character" w:styleId="WW8Num32z1">
    <w:name w:val="WW8Num32z1"/>
    <w:qFormat/>
    <w:rPr>
      <w:rFonts w:ascii="Courier New" w:hAnsi="Courier New" w:cs="Courier New"/>
      <w:sz w:val="20"/>
    </w:rPr>
  </w:style>
  <w:style w:type="character" w:styleId="WW8Num32z2">
    <w:name w:val="WW8Num32z2"/>
    <w:qFormat/>
    <w:rPr>
      <w:rFonts w:ascii="Wingdings" w:hAnsi="Wingdings" w:cs="Wingdings"/>
      <w:sz w:val="20"/>
    </w:rPr>
  </w:style>
  <w:style w:type="character" w:styleId="WW8Num33z0">
    <w:name w:val="WW8Num33z0"/>
    <w:qFormat/>
    <w:rPr>
      <w:rFonts w:ascii="Symbol" w:hAnsi="Symbol" w:cs="Symbol"/>
      <w:sz w:val="20"/>
    </w:rPr>
  </w:style>
  <w:style w:type="character" w:styleId="WW8Num33z1">
    <w:name w:val="WW8Num33z1"/>
    <w:qFormat/>
    <w:rPr>
      <w:rFonts w:ascii="Courier New" w:hAnsi="Courier New" w:cs="Courier New"/>
      <w:sz w:val="20"/>
    </w:rPr>
  </w:style>
  <w:style w:type="character" w:styleId="WW8Num33z2">
    <w:name w:val="WW8Num33z2"/>
    <w:qFormat/>
    <w:rPr>
      <w:rFonts w:ascii="Wingdings" w:hAnsi="Wingdings" w:cs="Wingdings"/>
      <w:sz w:val="20"/>
    </w:rPr>
  </w:style>
  <w:style w:type="character" w:styleId="WW8Num34z0">
    <w:name w:val="WW8Num34z0"/>
    <w:qFormat/>
    <w:rPr>
      <w:rFonts w:ascii="Symbol" w:hAnsi="Symbol" w:cs="Symbol"/>
      <w:sz w:val="20"/>
    </w:rPr>
  </w:style>
  <w:style w:type="character" w:styleId="WW8Num34z1">
    <w:name w:val="WW8Num34z1"/>
    <w:qFormat/>
    <w:rPr>
      <w:rFonts w:ascii="Courier New" w:hAnsi="Courier New" w:cs="Courier New"/>
      <w:sz w:val="20"/>
    </w:rPr>
  </w:style>
  <w:style w:type="character" w:styleId="WW8Num34z2">
    <w:name w:val="WW8Num34z2"/>
    <w:qFormat/>
    <w:rPr>
      <w:rFonts w:ascii="Wingdings" w:hAnsi="Wingdings" w:cs="Wingdings"/>
      <w:sz w:val="20"/>
    </w:rPr>
  </w:style>
  <w:style w:type="character" w:styleId="WW8Num35z0">
    <w:name w:val="WW8Num35z0"/>
    <w:qFormat/>
    <w:rPr>
      <w:rFonts w:ascii="Symbol" w:hAnsi="Symbol" w:cs="Symbol"/>
      <w:sz w:val="20"/>
    </w:rPr>
  </w:style>
  <w:style w:type="character" w:styleId="WW8Num35z1">
    <w:name w:val="WW8Num35z1"/>
    <w:qFormat/>
    <w:rPr>
      <w:rFonts w:ascii="Courier New" w:hAnsi="Courier New" w:cs="Courier New"/>
      <w:sz w:val="20"/>
    </w:rPr>
  </w:style>
  <w:style w:type="character" w:styleId="WW8Num35z2">
    <w:name w:val="WW8Num35z2"/>
    <w:qFormat/>
    <w:rPr>
      <w:rFonts w:ascii="Wingdings" w:hAnsi="Wingdings" w:cs="Wingdings"/>
      <w:sz w:val="20"/>
    </w:rPr>
  </w:style>
  <w:style w:type="character" w:styleId="WW8Num36z0">
    <w:name w:val="WW8Num36z0"/>
    <w:qFormat/>
    <w:rPr>
      <w:rFonts w:ascii="Symbol" w:hAnsi="Symbol" w:cs="Symbol"/>
      <w:sz w:val="20"/>
    </w:rPr>
  </w:style>
  <w:style w:type="character" w:styleId="WW8Num36z1">
    <w:name w:val="WW8Num36z1"/>
    <w:qFormat/>
    <w:rPr>
      <w:rFonts w:ascii="Courier New" w:hAnsi="Courier New" w:cs="Courier New"/>
      <w:sz w:val="20"/>
    </w:rPr>
  </w:style>
  <w:style w:type="character" w:styleId="WW8Num36z2">
    <w:name w:val="WW8Num36z2"/>
    <w:qFormat/>
    <w:rPr>
      <w:rFonts w:ascii="Wingdings" w:hAnsi="Wingdings" w:cs="Wingdings"/>
      <w:sz w:val="20"/>
    </w:rPr>
  </w:style>
  <w:style w:type="character" w:styleId="WW8Num37z0">
    <w:name w:val="WW8Num37z0"/>
    <w:qFormat/>
    <w:rPr>
      <w:rFonts w:ascii="Symbol" w:hAnsi="Symbol" w:cs="Symbol"/>
      <w:sz w:val="20"/>
    </w:rPr>
  </w:style>
  <w:style w:type="character" w:styleId="WW8Num37z1">
    <w:name w:val="WW8Num37z1"/>
    <w:qFormat/>
    <w:rPr>
      <w:rFonts w:ascii="Courier New" w:hAnsi="Courier New" w:cs="Courier New"/>
      <w:sz w:val="20"/>
    </w:rPr>
  </w:style>
  <w:style w:type="character" w:styleId="WW8Num37z2">
    <w:name w:val="WW8Num37z2"/>
    <w:qFormat/>
    <w:rPr>
      <w:rFonts w:ascii="Wingdings" w:hAnsi="Wingdings" w:cs="Wingdings"/>
      <w:sz w:val="20"/>
    </w:rPr>
  </w:style>
  <w:style w:type="character" w:styleId="WW8Num38z0">
    <w:name w:val="WW8Num38z0"/>
    <w:qFormat/>
    <w:rPr>
      <w:rFonts w:ascii="Wingdings" w:hAnsi="Wingdings" w:cs="Wingdings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9z0">
    <w:name w:val="WW8Num39z0"/>
    <w:qFormat/>
    <w:rPr>
      <w:rFonts w:ascii="Symbol" w:hAnsi="Symbol" w:cs="Symbol"/>
      <w:sz w:val="20"/>
    </w:rPr>
  </w:style>
  <w:style w:type="character" w:styleId="WW8Num39z1">
    <w:name w:val="WW8Num39z1"/>
    <w:qFormat/>
    <w:rPr>
      <w:rFonts w:ascii="Courier New" w:hAnsi="Courier New" w:cs="Courier New"/>
      <w:sz w:val="20"/>
    </w:rPr>
  </w:style>
  <w:style w:type="character" w:styleId="WW8Num39z2">
    <w:name w:val="WW8Num39z2"/>
    <w:qFormat/>
    <w:rPr>
      <w:rFonts w:ascii="Wingdings" w:hAnsi="Wingdings" w:cs="Wingdings"/>
      <w:sz w:val="20"/>
    </w:rPr>
  </w:style>
  <w:style w:type="character" w:styleId="WW8Num40z0">
    <w:name w:val="WW8Num40z0"/>
    <w:qFormat/>
    <w:rPr>
      <w:rFonts w:ascii="Symbol" w:hAnsi="Symbol" w:cs="Symbol"/>
      <w:sz w:val="20"/>
    </w:rPr>
  </w:style>
  <w:style w:type="character" w:styleId="WW8Num40z1">
    <w:name w:val="WW8Num40z1"/>
    <w:qFormat/>
    <w:rPr>
      <w:rFonts w:ascii="Courier New" w:hAnsi="Courier New" w:cs="Courier New"/>
      <w:sz w:val="20"/>
    </w:rPr>
  </w:style>
  <w:style w:type="character" w:styleId="WW8Num40z2">
    <w:name w:val="WW8Num40z2"/>
    <w:qFormat/>
    <w:rPr>
      <w:rFonts w:ascii="Wingdings" w:hAnsi="Wingdings" w:cs="Wingdings"/>
      <w:sz w:val="20"/>
    </w:rPr>
  </w:style>
  <w:style w:type="character" w:styleId="WW8Num41z0">
    <w:name w:val="WW8Num41z0"/>
    <w:qFormat/>
    <w:rPr>
      <w:rFonts w:ascii="Symbol" w:hAnsi="Symbol" w:cs="Symbol"/>
      <w:sz w:val="20"/>
    </w:rPr>
  </w:style>
  <w:style w:type="character" w:styleId="WW8Num41z1">
    <w:name w:val="WW8Num41z1"/>
    <w:qFormat/>
    <w:rPr>
      <w:rFonts w:ascii="Courier New" w:hAnsi="Courier New" w:cs="Courier New"/>
      <w:sz w:val="20"/>
    </w:rPr>
  </w:style>
  <w:style w:type="character" w:styleId="WW8Num41z2">
    <w:name w:val="WW8Num41z2"/>
    <w:qFormat/>
    <w:rPr>
      <w:rFonts w:ascii="Wingdings" w:hAnsi="Wingdings" w:cs="Wingdings"/>
      <w:sz w:val="20"/>
    </w:rPr>
  </w:style>
  <w:style w:type="character" w:styleId="WW8Num42z0">
    <w:name w:val="WW8Num42z0"/>
    <w:qFormat/>
    <w:rPr>
      <w:rFonts w:ascii="Symbol" w:hAnsi="Symbol" w:cs="Symbol"/>
      <w:sz w:val="20"/>
    </w:rPr>
  </w:style>
  <w:style w:type="character" w:styleId="WW8Num42z1">
    <w:name w:val="WW8Num42z1"/>
    <w:qFormat/>
    <w:rPr>
      <w:rFonts w:ascii="Courier New" w:hAnsi="Courier New" w:cs="Courier New"/>
      <w:sz w:val="20"/>
    </w:rPr>
  </w:style>
  <w:style w:type="character" w:styleId="WW8Num42z2">
    <w:name w:val="WW8Num42z2"/>
    <w:qFormat/>
    <w:rPr>
      <w:rFonts w:ascii="Wingdings" w:hAnsi="Wingdings" w:cs="Wingdings"/>
      <w:sz w:val="20"/>
    </w:rPr>
  </w:style>
  <w:style w:type="character" w:styleId="WW8Num43z0">
    <w:name w:val="WW8Num43z0"/>
    <w:qFormat/>
    <w:rPr>
      <w:rFonts w:ascii="Symbol" w:hAnsi="Symbol" w:cs="Symbol"/>
      <w:sz w:val="20"/>
    </w:rPr>
  </w:style>
  <w:style w:type="character" w:styleId="WW8Num43z1">
    <w:name w:val="WW8Num43z1"/>
    <w:qFormat/>
    <w:rPr>
      <w:rFonts w:ascii="Courier New" w:hAnsi="Courier New" w:cs="Courier New"/>
      <w:sz w:val="20"/>
    </w:rPr>
  </w:style>
  <w:style w:type="character" w:styleId="WW8Num43z2">
    <w:name w:val="WW8Num43z2"/>
    <w:qFormat/>
    <w:rPr>
      <w:rFonts w:ascii="Wingdings" w:hAnsi="Wingdings" w:cs="Wingdings"/>
      <w:sz w:val="20"/>
    </w:rPr>
  </w:style>
  <w:style w:type="character" w:styleId="WW8Num44z0">
    <w:name w:val="WW8Num44z0"/>
    <w:qFormat/>
    <w:rPr>
      <w:rFonts w:ascii="Symbol" w:hAnsi="Symbol" w:cs="Symbol"/>
      <w:sz w:val="20"/>
    </w:rPr>
  </w:style>
  <w:style w:type="character" w:styleId="WW8Num44z1">
    <w:name w:val="WW8Num44z1"/>
    <w:qFormat/>
    <w:rPr>
      <w:rFonts w:ascii="Courier New" w:hAnsi="Courier New" w:cs="Courier New"/>
      <w:sz w:val="20"/>
    </w:rPr>
  </w:style>
  <w:style w:type="character" w:styleId="WW8Num44z2">
    <w:name w:val="WW8Num44z2"/>
    <w:qFormat/>
    <w:rPr>
      <w:rFonts w:ascii="Wingdings" w:hAnsi="Wingdings" w:cs="Wingdings"/>
      <w:sz w:val="20"/>
    </w:rPr>
  </w:style>
  <w:style w:type="character" w:styleId="WW8Num45z0">
    <w:name w:val="WW8Num45z0"/>
    <w:qFormat/>
    <w:rPr>
      <w:rFonts w:ascii="Symbol" w:hAnsi="Symbol" w:cs="Symbol"/>
      <w:sz w:val="20"/>
    </w:rPr>
  </w:style>
  <w:style w:type="character" w:styleId="WW8Num45z1">
    <w:name w:val="WW8Num45z1"/>
    <w:qFormat/>
    <w:rPr>
      <w:rFonts w:ascii="Courier New" w:hAnsi="Courier New" w:cs="Courier New"/>
      <w:sz w:val="20"/>
    </w:rPr>
  </w:style>
  <w:style w:type="character" w:styleId="WW8Num45z2">
    <w:name w:val="WW8Num45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S2">
    <w:name w:val="s2"/>
    <w:qFormat/>
    <w:rPr/>
  </w:style>
  <w:style w:type="character" w:styleId="A8">
    <w:name w:val="A8"/>
    <w:qFormat/>
    <w:rPr>
      <w:rFonts w:cs="IGJXZV+ZapfDingbats;Yu Gothic UI"/>
      <w:color w:val="000000"/>
      <w:sz w:val="12"/>
      <w:szCs w:val="12"/>
    </w:rPr>
  </w:style>
  <w:style w:type="character" w:styleId="A9">
    <w:name w:val="A9"/>
    <w:qFormat/>
    <w:rPr>
      <w:rFonts w:ascii="GQPLXZ+DIN-Regular;Arial" w:hAnsi="GQPLXZ+DIN-Regular;Arial" w:cs="GQPLXZ+DIN-Regular;Arial"/>
      <w:color w:val="000000"/>
      <w:sz w:val="19"/>
      <w:szCs w:val="19"/>
    </w:rPr>
  </w:style>
  <w:style w:type="character" w:styleId="A7">
    <w:name w:val="A7"/>
    <w:qFormat/>
    <w:rPr>
      <w:rFonts w:ascii="CKBNTH+DIN-Medium;Arial" w:hAnsi="CKBNTH+DIN-Medium;Arial" w:cs="CKBNTH+DIN-Medium;Arial"/>
      <w:color w:val="000000"/>
      <w:sz w:val="20"/>
      <w:szCs w:val="20"/>
    </w:rPr>
  </w:style>
  <w:style w:type="character" w:styleId="FootnoteTextChar">
    <w:name w:val="Footnote Text Char"/>
    <w:qFormat/>
    <w:rPr>
      <w:rFonts w:ascii="Times Armenian" w:hAnsi="Times Armenian" w:cs="Times Armenian"/>
      <w:lang w:val="en-US"/>
    </w:rPr>
  </w:style>
  <w:style w:type="character" w:styleId="FootnoteCharacters">
    <w:name w:val="Footnote Characters"/>
    <w:qFormat/>
    <w:rPr>
      <w:vertAlign w:val="superscript"/>
    </w:rPr>
  </w:style>
  <w:style w:type="character" w:styleId="BalloonTextChar">
    <w:name w:val="Balloon Text Char"/>
    <w:qFormat/>
    <w:rPr>
      <w:rFonts w:ascii="Tahoma" w:hAnsi="Tahoma" w:cs="Tahoma"/>
      <w:sz w:val="16"/>
      <w:szCs w:val="16"/>
      <w:lang w:val="en-US"/>
    </w:rPr>
  </w:style>
  <w:style w:type="character" w:styleId="Notranslate">
    <w:name w:val="notranslate"/>
    <w:qFormat/>
    <w:rPr/>
  </w:style>
  <w:style w:type="character" w:styleId="Heading2Char">
    <w:name w:val="Heading 2 Char"/>
    <w:qFormat/>
    <w:rPr>
      <w:rFonts w:ascii="Arial LatArm" w:hAnsi="Arial LatArm" w:cs="Arial LatArm"/>
      <w:b/>
      <w:color w:val="0000FF"/>
    </w:rPr>
  </w:style>
  <w:style w:type="character" w:styleId="InternetLink">
    <w:name w:val="Hyperlink"/>
    <w:rPr>
      <w:color w:val="0000FF"/>
      <w:u w:val="single"/>
    </w:rPr>
  </w:style>
  <w:style w:type="character" w:styleId="BodyTextChar">
    <w:name w:val="Body Text Char"/>
    <w:qFormat/>
    <w:rPr>
      <w:rFonts w:ascii="Times New Roman" w:hAnsi="Times New Roman" w:cs="Times New Roman"/>
      <w:sz w:val="24"/>
      <w:szCs w:val="24"/>
    </w:rPr>
  </w:style>
  <w:style w:type="character" w:styleId="EndnoteTextChar">
    <w:name w:val="Endnote Text Char"/>
    <w:basedOn w:val="DefaultParagraphFont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Heading1Char">
    <w:name w:val="Heading 1 Char"/>
    <w:qFormat/>
    <w:rPr>
      <w:rFonts w:ascii="Aptos Display" w:hAnsi="Aptos Display" w:eastAsia="Times New Roman" w:cs="Times New Roman"/>
      <w:b/>
      <w:bCs/>
      <w:kern w:val="2"/>
      <w:sz w:val="32"/>
      <w:szCs w:val="32"/>
    </w:rPr>
  </w:style>
  <w:style w:type="character" w:styleId="Heading3Char">
    <w:name w:val="Heading 3 Char"/>
    <w:qFormat/>
    <w:rPr>
      <w:rFonts w:ascii="Aptos Display" w:hAnsi="Aptos Display" w:eastAsia="Times New Roman" w:cs="Times New Roman"/>
      <w:b/>
      <w:bCs/>
      <w:sz w:val="26"/>
      <w:szCs w:val="2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40" w:before="0" w:after="120"/>
    </w:pPr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Normal"/>
    <w:pPr>
      <w:spacing w:before="0" w:after="200"/>
      <w:ind w:start="283" w:hanging="283"/>
      <w:contextualSpacing/>
    </w:pPr>
    <w:rPr>
      <w:rFonts w:cs="Calib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1">
    <w:name w:val="p1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paragraph" w:styleId="Pa0">
    <w:name w:val="Pa0"/>
    <w:basedOn w:val="Normal"/>
    <w:next w:val="Normal"/>
    <w:qFormat/>
    <w:pPr>
      <w:autoSpaceDE w:val="false"/>
      <w:spacing w:lineRule="atLeast" w:line="241" w:before="0" w:after="0"/>
    </w:pPr>
    <w:rPr>
      <w:rFonts w:ascii="IGJXZV+ZapfDingbats;Yu Gothic UI" w:hAnsi="IGJXZV+ZapfDingbats;Yu Gothic UI" w:eastAsia="IGJXZV+ZapfDingbats;Yu Gothic UI"/>
      <w:sz w:val="24"/>
      <w:szCs w:val="24"/>
      <w:lang w:val="ru-RU"/>
    </w:rPr>
  </w:style>
  <w:style w:type="paragraph" w:styleId="NoSpacing">
    <w:name w:val="No Spacing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en-US" w:bidi="ar-SA" w:eastAsia="zh-CN"/>
    </w:rPr>
  </w:style>
  <w:style w:type="paragraph" w:styleId="Footnote">
    <w:name w:val="Footnote Text"/>
    <w:basedOn w:val="Normal"/>
    <w:pPr>
      <w:spacing w:lineRule="auto" w:line="240" w:before="0" w:after="0"/>
    </w:pPr>
    <w:rPr>
      <w:rFonts w:ascii="Times Armenian" w:hAnsi="Times Armenian" w:cs="Times Armenian"/>
      <w:sz w:val="20"/>
      <w:szCs w:val="20"/>
      <w:lang w:val="en-US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paragraph" w:styleId="Endnote">
    <w:name w:val="Endnote Text"/>
    <w:basedOn w:val="Normal"/>
    <w:pPr/>
    <w:rPr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Relationship Id="r_odt_hyperlink" Type="http://schemas.openxmlformats.org/officeDocument/2006/relationships/hyperlink" Target="https://www.onlinedoctranslator.com/ru/?utm_source=onlinedoctranslator&amp;utm_medium=doc&amp;utm_campaign=attribution" TargetMode="External"/><Relationship Id="r_odt_logo" Type="http://schemas.openxmlformats.org/officeDocument/2006/relationships/image" Target="media/odt_attribution_logo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Application>LibreOffice/7.1.4.2$Linux_X86_64 LibreOffice_project/10$Build-2</Application>
  <AppVersion>15.0000</AppVersion>
  <Pages>5</Pages>
  <Words>756</Words>
  <Characters>5046</Characters>
  <CharactersWithSpaces>5771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2025-05-08T07:24:00Z</dcterms:created>
  <dc:creator>Admin</dc:creator>
  <dc:description/>
  <cp:keywords> </cp:keywords>
  <dc:language>en-US</dc:language>
  <cp:lastModifiedBy>Roza Mehrabyan</cp:lastModifiedBy>
  <cp:lastPrinted>2025-08-04T11:49:00Z</cp:lastPrinted>
  <dcterms:modified xsi:type="dcterms:W3CDTF">2025-08-06T16:35:00Z</dcterms:modified>
  <cp:revision>82</cp:revision>
  <dc:subject/>
  <dc:title/>
</cp:coreProperties>
</file>