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3887" w:type="dxa"/>
        <w:jc w:val="center"/>
        <w:tblLook w:val="04A0" w:firstRow="1" w:lastRow="0" w:firstColumn="1" w:lastColumn="0" w:noHBand="0" w:noVBand="1"/>
      </w:tblPr>
      <w:tblGrid>
        <w:gridCol w:w="680"/>
        <w:gridCol w:w="1631"/>
        <w:gridCol w:w="2611"/>
        <w:gridCol w:w="7276"/>
        <w:gridCol w:w="705"/>
        <w:gridCol w:w="984"/>
      </w:tblGrid>
      <w:tr w:rsidR="00C759B9" w:rsidRPr="00745D49" w14:paraId="39C502C3" w14:textId="77777777" w:rsidTr="00745D49">
        <w:trPr>
          <w:jc w:val="center"/>
        </w:trPr>
        <w:tc>
          <w:tcPr>
            <w:tcW w:w="680" w:type="dxa"/>
            <w:vAlign w:val="center"/>
          </w:tcPr>
          <w:p w14:paraId="4471959D" w14:textId="696EB20E" w:rsidR="00754C18" w:rsidRPr="00745D49" w:rsidRDefault="00754C18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1" w:type="dxa"/>
            <w:vAlign w:val="center"/>
          </w:tcPr>
          <w:p w14:paraId="548583F9" w14:textId="7E4E9C73" w:rsidR="00754C18" w:rsidRPr="00745D49" w:rsidRDefault="00754C18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611" w:type="dxa"/>
            <w:vAlign w:val="center"/>
          </w:tcPr>
          <w:p w14:paraId="2124BC6E" w14:textId="1AE81E8D" w:rsidR="00754C18" w:rsidRPr="00745D49" w:rsidRDefault="00754C18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276" w:type="dxa"/>
            <w:vAlign w:val="center"/>
          </w:tcPr>
          <w:p w14:paraId="195D7AB1" w14:textId="1DDA7EC4" w:rsidR="00754C18" w:rsidRPr="00745D49" w:rsidRDefault="00754C18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705" w:type="dxa"/>
            <w:vAlign w:val="center"/>
          </w:tcPr>
          <w:p w14:paraId="32388AA7" w14:textId="55F7C8A9" w:rsidR="00754C18" w:rsidRPr="00745D49" w:rsidRDefault="00754C18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4" w:type="dxa"/>
            <w:vAlign w:val="center"/>
          </w:tcPr>
          <w:p w14:paraId="3E2C04E8" w14:textId="75444E3D" w:rsidR="00754C18" w:rsidRPr="00745D49" w:rsidRDefault="00754C18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745D49" w:rsidRPr="00745D49" w14:paraId="1115C99D" w14:textId="77777777" w:rsidTr="00745D49">
        <w:trPr>
          <w:jc w:val="center"/>
        </w:trPr>
        <w:tc>
          <w:tcPr>
            <w:tcW w:w="680" w:type="dxa"/>
            <w:vAlign w:val="center"/>
          </w:tcPr>
          <w:p w14:paraId="5607BB72" w14:textId="166AF15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631" w:type="dxa"/>
            <w:vAlign w:val="center"/>
          </w:tcPr>
          <w:p w14:paraId="01AEDEA2" w14:textId="2AC0B545" w:rsidR="00745D49" w:rsidRPr="00745D49" w:rsidRDefault="00745D49" w:rsidP="00745D4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  <w:lang w:val="hy-AM"/>
              </w:rPr>
              <w:t>33161120/66</w:t>
            </w:r>
          </w:p>
        </w:tc>
        <w:tc>
          <w:tcPr>
            <w:tcW w:w="2611" w:type="dxa"/>
            <w:vAlign w:val="center"/>
          </w:tcPr>
          <w:p w14:paraId="2C9F94A4" w14:textId="263D915A" w:rsidR="00745D49" w:rsidRPr="00745D49" w:rsidRDefault="00745D49" w:rsidP="00745D4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  <w:lang w:val="hy-AM"/>
              </w:rPr>
              <w:t>Նեյրովիրաբուժական գործիք կոնաձև</w:t>
            </w:r>
          </w:p>
        </w:tc>
        <w:tc>
          <w:tcPr>
            <w:tcW w:w="7276" w:type="dxa"/>
            <w:vAlign w:val="center"/>
          </w:tcPr>
          <w:p w14:paraId="01161C5E" w14:textId="74B0661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Համալսարանական հիվանդանոցում առկա Medtronic Midas Rex Legend System վիրաբուժական գործիքի համար նախատեսված և պարտադիր համատեղելի կոնաձև, ստերիլ, մեկանգամյա օգտագործման նեյրովիրաբուժական գործիք 8սմ երկարությամբ, 1,5մմ տրամագծով: Օրիգինալ: Ֆորմատ՝ հատ: CE MARK որակի վկայականների առկայությունը պարտադիր է: Նոր է, չօգտագործված, գործարանային ստերիլ փաթեթավորմամբ: Ներառում է տեխնիկական ցուցանիշները, առանձնահատկությունները և օգտագործման կանոնները՝ գործարանային ձեռնարկի ձևով: Հանձնելու պահին ամբողջ պիտանելիության ժամկետի առնվազն 50%-ի առկայություն:</w:t>
            </w:r>
          </w:p>
        </w:tc>
        <w:tc>
          <w:tcPr>
            <w:tcW w:w="705" w:type="dxa"/>
            <w:vAlign w:val="center"/>
          </w:tcPr>
          <w:p w14:paraId="484B02E3" w14:textId="619FD1E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0BA95E9" w14:textId="4B454F35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</w:tr>
      <w:tr w:rsidR="00745D49" w:rsidRPr="00745D49" w14:paraId="3173D318" w14:textId="77777777" w:rsidTr="00745D49">
        <w:trPr>
          <w:jc w:val="center"/>
        </w:trPr>
        <w:tc>
          <w:tcPr>
            <w:tcW w:w="680" w:type="dxa"/>
            <w:vAlign w:val="center"/>
          </w:tcPr>
          <w:p w14:paraId="0BE447D5" w14:textId="2A3801F0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631" w:type="dxa"/>
            <w:vAlign w:val="center"/>
          </w:tcPr>
          <w:p w14:paraId="4FA47368" w14:textId="30972A85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33161120/67</w:t>
            </w:r>
          </w:p>
        </w:tc>
        <w:tc>
          <w:tcPr>
            <w:tcW w:w="2611" w:type="dxa"/>
            <w:vAlign w:val="center"/>
          </w:tcPr>
          <w:p w14:paraId="72EC47BD" w14:textId="507105E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Նեյրովիրաբուժական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գործիք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կոնաձև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-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պարուրաձև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7276" w:type="dxa"/>
            <w:vAlign w:val="center"/>
          </w:tcPr>
          <w:p w14:paraId="6D8915D8" w14:textId="2E4A8935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Համալսարանական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հիվանդանոցում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Medtronic Midas Rex Legend System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վիրաբուժական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գործիքի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համատեղելի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կոնաձև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պարուրաձև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ստերիլ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մեկանգամյա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նեյրովիրաբուժական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գործիք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8սմ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երկարությամբ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1.5մմ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տրամագծով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Օրիգինալ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Ֆորմատ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CE MARK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որակի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վկայականների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ստերիլ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Ներառում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ցուցանիշները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առանձնահատկությունները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կանոնները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ձեռնարկի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ձևով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ամբողջ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ժամկետի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50%-ի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3F17E6CC" w14:textId="3CFC837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2FDE62C" w14:textId="3E4D2714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745D49" w:rsidRPr="00745D49" w14:paraId="39E4D78E" w14:textId="77777777" w:rsidTr="00745D49">
        <w:trPr>
          <w:jc w:val="center"/>
        </w:trPr>
        <w:tc>
          <w:tcPr>
            <w:tcW w:w="680" w:type="dxa"/>
            <w:vAlign w:val="center"/>
          </w:tcPr>
          <w:p w14:paraId="43760088" w14:textId="06E27E4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631" w:type="dxa"/>
            <w:vAlign w:val="center"/>
          </w:tcPr>
          <w:p w14:paraId="20FF3FD1" w14:textId="5BB449B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33161120/68</w:t>
            </w:r>
          </w:p>
        </w:tc>
        <w:tc>
          <w:tcPr>
            <w:tcW w:w="2611" w:type="dxa"/>
            <w:vAlign w:val="center"/>
          </w:tcPr>
          <w:p w14:paraId="7B4009AB" w14:textId="29E94EA0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Նեյրովիրաբուժական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գործիք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կոնաձև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-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պարուրաձև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/2</w:t>
            </w:r>
          </w:p>
        </w:tc>
        <w:tc>
          <w:tcPr>
            <w:tcW w:w="7276" w:type="dxa"/>
            <w:vAlign w:val="center"/>
          </w:tcPr>
          <w:p w14:paraId="62BFCFAB" w14:textId="7C7E76EA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Համալսարանական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հիվանդանոցում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Medtronic Midas Rex Legend System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վիրաբուժական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գործիքի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համատեղելի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կոնաձև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պարուրաձև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ստերիլ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մեկանգամյա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նեյրովիրաբուժական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գործիք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8սմ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երկարությամբ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2.3մմ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տրամագծով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Օրիգինալ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Ֆորմատ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CE MARK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որակի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վկայականների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ստերիլ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Ներառում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ցուցանիշները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առանձնահատկությունները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կանոնները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ձեռնարկի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ձևով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ամբողջ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ժամկետի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50%-ի </w:t>
            </w: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738EB859" w14:textId="30E10DD9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5431762" w14:textId="44DD00AB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745D49" w:rsidRPr="00745D49" w14:paraId="1F2D9AE7" w14:textId="77777777" w:rsidTr="00745D49">
        <w:trPr>
          <w:jc w:val="center"/>
        </w:trPr>
        <w:tc>
          <w:tcPr>
            <w:tcW w:w="680" w:type="dxa"/>
            <w:vAlign w:val="center"/>
          </w:tcPr>
          <w:p w14:paraId="1B2E2AF8" w14:textId="68FCD0A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631" w:type="dxa"/>
            <w:vAlign w:val="center"/>
          </w:tcPr>
          <w:p w14:paraId="55333167" w14:textId="7460AE7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33181180/1</w:t>
            </w:r>
          </w:p>
        </w:tc>
        <w:tc>
          <w:tcPr>
            <w:tcW w:w="2611" w:type="dxa"/>
            <w:vAlign w:val="center"/>
          </w:tcPr>
          <w:p w14:paraId="27FB16EF" w14:textId="4BAF71F2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Պեյսմեյկեր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երկխոռոչ</w:t>
            </w:r>
            <w:proofErr w:type="spellEnd"/>
          </w:p>
        </w:tc>
        <w:tc>
          <w:tcPr>
            <w:tcW w:w="7276" w:type="dxa"/>
            <w:vAlign w:val="center"/>
          </w:tcPr>
          <w:p w14:paraId="10EB29C0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 xml:space="preserve">ԵՊԲՀ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հիմնադրամում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շահագործվող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Medtronic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ծրագրավորիչի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համատեղելի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պեյսմեյկեր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երկխոռոչ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Օրիգինալ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Երկխոռոչանի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սրտի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ռիթմը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պարագաներով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ՄՌՏ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համատեղելիությամբ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45մմ x 48մմ x 8.0մմ,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զանգվածը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27.5 գ;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ծավալը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12.5 սմ3,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մարտկոցի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տիպը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լիթիում-յոդ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Լարումը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2.8Վ: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Կոննեկտորի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տիպը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` IS-1 BI/UNI:</w:t>
            </w:r>
          </w:p>
          <w:p w14:paraId="28AD5649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Շահագործման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11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(DDDR 60 զ/ր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100%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փորոքայինը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2.0Վ,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1.5Վ,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իմպուլսի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լայնությունը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r w:rsidRPr="00745D49">
              <w:rPr>
                <w:rFonts w:ascii="GHEA Grapalat" w:hAnsi="GHEA Grapalat"/>
                <w:sz w:val="18"/>
                <w:szCs w:val="18"/>
              </w:rPr>
              <w:lastRenderedPageBreak/>
              <w:t xml:space="preserve">0.4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1000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իմպեդանս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);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խցիկում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շեմերի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մշտական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կառավարում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Կառավարելի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(ԿՓՍ)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ֆունկցիայի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ապահովում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ԱՎ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ուշացման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որոնման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ֆունկցիայի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ծրագրավորվող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ֆունկցիա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պացիենտի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սպոնտան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ԱՎ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անցկացման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ДАВ և САВ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ինտերվալների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փոփոխման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սպոնտան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ակտիվացիայի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ապահովման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կծկումներին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ռեֆրակտ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ժամանակամիջոցի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(ՀՓՀՌԺ)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ֆունկցիան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նախապաշտպանում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էլեկտրոստիմուլյատորով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ինդուկցված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տախիկարդիայից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և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ապահովում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բլոկադայի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հարաբերակցությունը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2:1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հաճախականությունից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ելնելով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Ֆունկցիան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բարելավում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էլեկտրոստիմուլյատորով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ինդուկցված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տախիկարդիայից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պաշտպանությունը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երկարացնելով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ՀՊՀՌԺ-ն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սինխրոնիզացիայի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նվազ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ապահովելով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բլոկադայի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հարաբերակցությունը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2:1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կարճացնելով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ՀՊՀՌԺ-ն և ДАВ-ը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անհրաժեշտության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):</w:t>
            </w:r>
          </w:p>
          <w:p w14:paraId="1CD3F674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Խթանման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AAIR&lt;=&gt;DDDR, DDDR, AAI&lt;=&gt;DDD, DDD, DDIR, DDI, DVIR, DVI,DOOR, DOO, VDD, VVIR, VDIR, VVI, VDI, VVT, VOOR, VOO, AAIR, ADIR, AAI, ADI, AAT, AOOR, AOO, ODO, OVO, OAO: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Հավաքածուն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ներառում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էլեկտրոդ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ինտրոդյուսեր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Կախված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վիրահատության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առանձնակատկությունից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էլեկտրոդները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պասիվ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ակտիվ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ֆիկսացիայի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AA28202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Պեյսմեյկերի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երաշխիքային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սպասարկումը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հիվանդին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իմպլանտացվելուց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11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ժամկտում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17622D3E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պարտավոր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պայմանագրի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կատարման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փուլում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փաստաթղթային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հավաստում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ստորև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որևէ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հայտ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գալու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ապահովել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տվյալ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սեփական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միջոցների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հաշվին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գործառույթները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ընդ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իրավունք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ստուգել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տեղեկության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իսկությունը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հենց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2C6E64F0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1</w:t>
            </w:r>
            <w:r w:rsidRPr="00745D4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745D49">
              <w:rPr>
                <w:rFonts w:ascii="GHEA Grapalat" w:hAnsi="GHEA Grapalat"/>
                <w:sz w:val="18"/>
                <w:szCs w:val="18"/>
              </w:rPr>
              <w:t xml:space="preserve">յուրաքանչյուր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խոտանված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խախտման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տրամադրված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տեղեկությունը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փոխանցել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ստանալ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բացատրությունը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պարտավորվում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առցանց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ախտորոշում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ամենն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իրականացվելու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հիվանդին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իմպլանտացվելուց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11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ժամկտում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2223149F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2</w:t>
            </w:r>
            <w:r w:rsidRPr="00745D4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745D49">
              <w:rPr>
                <w:rFonts w:ascii="GHEA Grapalat" w:hAnsi="GHEA Grapalat"/>
                <w:sz w:val="18"/>
                <w:szCs w:val="18"/>
              </w:rPr>
              <w:t xml:space="preserve">արտադրական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խոտանի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պարտավոր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հիվանդին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իմպլանտացվելուց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11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տարվա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ընթացքում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խոտանված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փոխարինումը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։</w:t>
            </w:r>
          </w:p>
          <w:p w14:paraId="36DACB8A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</w:t>
            </w:r>
            <w:r w:rsidRPr="00745D4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745D49">
              <w:rPr>
                <w:rFonts w:ascii="GHEA Grapalat" w:hAnsi="GHEA Grapalat"/>
                <w:sz w:val="18"/>
                <w:szCs w:val="18"/>
              </w:rPr>
              <w:t xml:space="preserve">արտադրողի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որևէ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տեղեկությունը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փոխանցել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կանչված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փոխարինել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։</w:t>
            </w:r>
          </w:p>
          <w:p w14:paraId="02BF3452" w14:textId="1AA4E5D9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lastRenderedPageBreak/>
              <w:t>Ցանկացած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CE MARK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FDA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վկայականի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ստերիլ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Ներառում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ցուցանիշները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առանձնահատկությունները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օգտագործման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կանոնները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ձեռնարկի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ձևով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ամբողջ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50%-ի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7C46D054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հանդիսանում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՝</w:t>
            </w:r>
          </w:p>
          <w:p w14:paraId="43B31C9B" w14:textId="43126C9B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Մասնակիցը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հայտով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ավտարիզացիոն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նամակ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երաշխիքային-լիազոր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նամակ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):</w:t>
            </w:r>
          </w:p>
          <w:p w14:paraId="495D3B0D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հանդիսանում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մասնակիցը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պայմանագրի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կատարման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փուլում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</w:t>
            </w:r>
          </w:p>
          <w:p w14:paraId="66AB927C" w14:textId="18AF4C46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ծագման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համապատասխանության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հավաստագիր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                                  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Երաշխիքային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ներառում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վնասվել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բժշկի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կանոնների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խախտման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պատճառով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5F1F79B5" w14:textId="333E532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58D0CB7" w14:textId="75DC9239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</w:tr>
      <w:tr w:rsidR="00745D49" w:rsidRPr="00745D49" w14:paraId="71E62A85" w14:textId="77777777" w:rsidTr="00745D49">
        <w:trPr>
          <w:jc w:val="center"/>
        </w:trPr>
        <w:tc>
          <w:tcPr>
            <w:tcW w:w="680" w:type="dxa"/>
            <w:vAlign w:val="center"/>
          </w:tcPr>
          <w:p w14:paraId="23E9DF48" w14:textId="4FAB3A3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lastRenderedPageBreak/>
              <w:t>5</w:t>
            </w:r>
          </w:p>
        </w:tc>
        <w:tc>
          <w:tcPr>
            <w:tcW w:w="1631" w:type="dxa"/>
            <w:vAlign w:val="center"/>
          </w:tcPr>
          <w:p w14:paraId="5E279E87" w14:textId="5E3DFB7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33181180/2</w:t>
            </w:r>
          </w:p>
        </w:tc>
        <w:tc>
          <w:tcPr>
            <w:tcW w:w="2611" w:type="dxa"/>
            <w:vAlign w:val="center"/>
          </w:tcPr>
          <w:p w14:paraId="30F984EC" w14:textId="6F4BC2A1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Պեյսմեյկեր-դեֆիբրիլյատոր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երկխոռոչ</w:t>
            </w:r>
            <w:proofErr w:type="spellEnd"/>
          </w:p>
        </w:tc>
        <w:tc>
          <w:tcPr>
            <w:tcW w:w="7276" w:type="dxa"/>
            <w:vAlign w:val="center"/>
          </w:tcPr>
          <w:p w14:paraId="7C66A5E8" w14:textId="3F2C95E5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 xml:space="preserve">ԵՊԲՀ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հիմնադրամում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շահագործվող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Medtronic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ծրագրավորիչի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համատեղելի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պեյսմեյկեր-դեֆիբրիլյատոր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երկխոռոչ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Օրիգինալ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երկխոռոչանի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կարդիովերտեր-դեֆիբրիլյատոր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ՄՌՏ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համատեղելիությամբ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իրենից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բազմածրագիր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սրտաբանական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սարքավորում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հիվանդի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ռիթմի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մոնիտորինգ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երկխցիկ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բրադիկարդիայի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ադապտիվ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հաշվին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տախիառիթմիաների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բուժում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ՄՌՏ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համատեղելիությունը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– 1,5 Տ և 3 Տ,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սկանավորման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գոտիների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սահմանափակում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չկա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սրտի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հատվածը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ներառյալ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պացիենտի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հասակի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սահմանափակում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չկա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ՄՌՏ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սկանավորման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միջամտության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տևողության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սահմանափակում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չկա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, ՄՌՏ-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համատեղելի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էլեկտրոդներով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ինչպես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հետազոտման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անցկացման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պահանջվող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8F7B94F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Կոննեկտորների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տիպը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IS-1, DF4/ DF1,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զանգվածը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80 գ.;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ծավալը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35 սմ3;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70մմ x 53մմ x 15մմ։ 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Շահագործման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9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հաշվի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առնելով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առավելագույն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հզորությամբ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կիսամյակային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ցնցումները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AAI&lt;=&gt;DDD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աջ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50%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ամպլիտուդ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2,5 Վ,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դիմադրողականություն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600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եռամսյակային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փոխանցումներ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հեռակառավարման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միջոցով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);</w:t>
            </w:r>
          </w:p>
          <w:p w14:paraId="228CC146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Մարդու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հյուսվածքների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կոնտակտավորող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մատերիալներ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տիտան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պոլիուրեթան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սիլիկոնի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կաուչուկ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CDF6F67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Ռենտգեն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կոնտրաստային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իդենտիֆիկատոր`PFZ։Կորպուսի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ձևը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ֆիզիոլոգիական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ուրվագծման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72C17524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Մարտկոցը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Հիբրիդային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CFx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լիթիում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արծաթ-վանադիումի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օքսիդ</w:t>
            </w:r>
            <w:proofErr w:type="spellEnd"/>
          </w:p>
          <w:p w14:paraId="02B7E529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lastRenderedPageBreak/>
              <w:t>Մատակարարվող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էներգիայի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առավելագույնը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` 36Ջ.</w:t>
            </w:r>
          </w:p>
          <w:p w14:paraId="63DF0BC4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Կուտակված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էներգիայի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առավելագույնը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` 42Ջ.</w:t>
            </w:r>
          </w:p>
          <w:p w14:paraId="7ED34F0B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Շահագործման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սկզբում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լիցքավորման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ստանդարտ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՝  9վրկ.</w:t>
            </w:r>
          </w:p>
          <w:p w14:paraId="0B8C5EF9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խորհուրդ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տրվող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հասնելու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ստանդարտ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(RRT)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քան՝13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վրկ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2324213E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Մարտկոցի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շահագործման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երկարաձգված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(PSP)`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RRT-ի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փոփոխման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խորհուրդ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տրվող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) և EOS-ի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շահագործման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ավարտ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ժամանակահատվածն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է: PSP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տևողությունը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սահմանվում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3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կատարման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DDD-ի 100%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60 ր. -1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աջ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ամպլիտուդան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2,5Վ,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իմպուլսի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լայնությունը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0,4մվ;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ծանրաբեռնվածությունը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600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ինչպես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6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ամբողջական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լիցք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գերազանցում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EOS-ի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ծանուցումը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հայտնվել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եռամսյա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ավարտը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3C1C1680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Ֆունկցիաների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փոփոխում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(AAI(R) &lt;-&gt; DDD(R));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Զգայունության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Ֆիզիկական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ակտիվությանն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պատասխան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ադապտացում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ՍԿՀ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հանդեպ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AV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ինտերվալի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ադապտացում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;</w:t>
            </w:r>
          </w:p>
          <w:p w14:paraId="1C97F136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PVARP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ռեֆրակտերային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ժամանակահատված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) ՍԿՀ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ադապտացմամբ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կարդիոստիմուլյատորի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առաջացրած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հաճախասրտության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կանխման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նպատակով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մրցակցային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(NCAP)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էքստրասիստոլայից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Միջամտություն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կարդիոստիմուլյատորի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առաջացրած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հաճախասրտության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պատասխան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էքստրասիստոլային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(PVC);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Կանխիչ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(VSP)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խաչաձև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խանգարումների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DDDR-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DDI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չհետևվող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փոփոխումը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տախիարիթմիայի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կանխում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վերփորոքային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հաճախասրտությունների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ֆիբրիլյացիայի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անցկացման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վրա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պատասխանը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նպաստում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ֆիբրիլյացիայի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էպիզոդների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կանոնավոր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պահպանմանը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էքստրասիստոլայից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կայունացում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նախընտրելի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ստիմուլյացիա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(APP)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նախասրտային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առիթմիաների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ՆՖ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կանխարգելման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նպատակով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կրճատումների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հաճախականության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(VRS)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կայունացում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էքստրասիստոլայից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C0D6DC0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Օժտված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փորոքների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խթանումը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կառավարող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էքսկլյուզիվ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(MVP), ATP 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          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հայտնաբերել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VT/VF: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Մարտկոցի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տիպը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լիթիում-արծաթ-վանադիումի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օքսիդ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Դեֆիբրիլացիայի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կարդիովերսիայի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էներգիան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` 0,4 -35 Ջ: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Խթանման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` DDDR և DDD, DDIR և DDI, DOOVVIR և VVI,VOO, AAIR և </w:t>
            </w:r>
            <w:r w:rsidRPr="00745D49">
              <w:rPr>
                <w:rFonts w:ascii="GHEA Grapalat" w:hAnsi="GHEA Grapalat"/>
                <w:sz w:val="18"/>
                <w:szCs w:val="18"/>
              </w:rPr>
              <w:lastRenderedPageBreak/>
              <w:t xml:space="preserve">AAI,AOO,MVP,ODO: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Հավաքածուն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ներառում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էլեկտրոդ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ինտրոդյուսեր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Կախված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վիրահատության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առանձնակատկությունից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էլեկտրոդները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պասիվ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ակտիվ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ֆիկսացիայի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7A381D03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Պեյսմեյկեր-դեֆիբրիլյատորի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երաշխիքային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սպասարկում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հիվանդին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իմպլանտացվելուց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9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ժամկտում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55BDFA1E" w14:textId="34DD47AF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պարտավոր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պայմանագրի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կատարման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փուլում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փաստաթղթային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հավաստում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ստորև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որևէ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հայտ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գալու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ապահովել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տվյալ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սեփական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միջոցների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հաշվին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գործառույները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ընդ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իրավունք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ստուգել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տեղեկության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իսկությունը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հենց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74313ED1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1</w:t>
            </w:r>
            <w:r w:rsidRPr="00745D4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745D49">
              <w:rPr>
                <w:rFonts w:ascii="GHEA Grapalat" w:hAnsi="GHEA Grapalat"/>
                <w:sz w:val="18"/>
                <w:szCs w:val="18"/>
              </w:rPr>
              <w:t xml:space="preserve">յուրաքանչյուր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խոտանված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ռեժիմի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խախտման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տրամադրված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տեղեկությունը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փոխանցել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ստանալ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բացատրությունը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պարտավորվում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առցանց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ախտորոշում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ամենն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իրականացվելու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հիվանդին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իմպլանտացվելուց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9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ժամկտում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2043C3AD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2</w:t>
            </w:r>
            <w:r w:rsidRPr="00745D4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745D49">
              <w:rPr>
                <w:rFonts w:ascii="GHEA Grapalat" w:hAnsi="GHEA Grapalat"/>
                <w:sz w:val="18"/>
                <w:szCs w:val="18"/>
              </w:rPr>
              <w:t xml:space="preserve">արտադրական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խոտանի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պարտավոր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հիվանդին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իմպլանտացվելուց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9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տարվա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ընթացքում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խոտանված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փոխարինումը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։</w:t>
            </w:r>
          </w:p>
          <w:p w14:paraId="62B67F1D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</w:t>
            </w:r>
            <w:r w:rsidRPr="00745D4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745D49">
              <w:rPr>
                <w:rFonts w:ascii="GHEA Grapalat" w:hAnsi="GHEA Grapalat"/>
                <w:sz w:val="18"/>
                <w:szCs w:val="18"/>
              </w:rPr>
              <w:t xml:space="preserve">արտադրողի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որևէ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տեղեկությունը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փոխանցել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կանչված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փոխարինել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։</w:t>
            </w:r>
          </w:p>
          <w:p w14:paraId="7FB888AB" w14:textId="713E0E1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Ցանկացած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խմբաքանակի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CE MARK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FDA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վկայականի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ստերիլ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Ներառում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ցուցանիշները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առանձնահատկությունները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օգտագործման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կանոնները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ձեռնարկի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ձևով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ամբողջ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50%-ի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655FFD4F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հանդիսանում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՝</w:t>
            </w:r>
          </w:p>
          <w:p w14:paraId="2E859CD6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Մասնակիցը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հայտով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</w:t>
            </w:r>
          </w:p>
          <w:p w14:paraId="56DE8F1D" w14:textId="2813C21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 xml:space="preserve">1.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ավտարիզացիոն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նամակ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երաշխիքային-լիազոր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նամակ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):</w:t>
            </w:r>
          </w:p>
          <w:p w14:paraId="33252F6A" w14:textId="7777777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հանդիսանում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մասնակիցը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պայմանագրի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կատարման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փուլում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</w:t>
            </w:r>
          </w:p>
          <w:p w14:paraId="27E22D85" w14:textId="7EC12272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 xml:space="preserve">1.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ապրանքը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ներկայացվող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ծագման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համապատասխանության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հավաստագիր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Երաշխիքային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ներառում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դեպքերը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վնասվել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բժշկի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իմպլանտացման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կանոնների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խախտման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պատճառով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6F6D3071" w14:textId="164A0FAF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14:paraId="4AE84FAB" w14:textId="4C5F59D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D452D42" w14:textId="0106A25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</w:tr>
      <w:tr w:rsidR="00745D49" w:rsidRPr="00745D49" w14:paraId="79DB753B" w14:textId="77777777" w:rsidTr="00745D49">
        <w:trPr>
          <w:jc w:val="center"/>
        </w:trPr>
        <w:tc>
          <w:tcPr>
            <w:tcW w:w="680" w:type="dxa"/>
            <w:vAlign w:val="center"/>
          </w:tcPr>
          <w:p w14:paraId="25FA1F96" w14:textId="5F72BF11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lastRenderedPageBreak/>
              <w:t>6</w:t>
            </w:r>
          </w:p>
        </w:tc>
        <w:tc>
          <w:tcPr>
            <w:tcW w:w="1631" w:type="dxa"/>
            <w:vAlign w:val="center"/>
          </w:tcPr>
          <w:p w14:paraId="079A8D4B" w14:textId="0F4FDC2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33621772/1</w:t>
            </w:r>
          </w:p>
        </w:tc>
        <w:tc>
          <w:tcPr>
            <w:tcW w:w="2611" w:type="dxa"/>
            <w:vAlign w:val="center"/>
          </w:tcPr>
          <w:p w14:paraId="4F2B3AE1" w14:textId="5AA3EA6F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Դոբուտամին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250մգ</w:t>
            </w:r>
          </w:p>
        </w:tc>
        <w:tc>
          <w:tcPr>
            <w:tcW w:w="7276" w:type="dxa"/>
            <w:vAlign w:val="center"/>
          </w:tcPr>
          <w:p w14:paraId="487EB243" w14:textId="1909CB11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Դոբուտամին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dobutamine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լիոֆիլացված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250մգ,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ապակե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սրվակ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դեղորայքի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24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3F899D17" w14:textId="17CA461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D5C52A6" w14:textId="45F0BBA6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745D49" w:rsidRPr="00745D49" w14:paraId="0C111E06" w14:textId="77777777" w:rsidTr="00745D49">
        <w:trPr>
          <w:jc w:val="center"/>
        </w:trPr>
        <w:tc>
          <w:tcPr>
            <w:tcW w:w="680" w:type="dxa"/>
            <w:vAlign w:val="center"/>
          </w:tcPr>
          <w:p w14:paraId="732D4AD9" w14:textId="0F76D74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631" w:type="dxa"/>
            <w:vAlign w:val="center"/>
          </w:tcPr>
          <w:p w14:paraId="2B9D4EC2" w14:textId="05BD9E9C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33691176/53</w:t>
            </w:r>
          </w:p>
        </w:tc>
        <w:tc>
          <w:tcPr>
            <w:tcW w:w="2611" w:type="dxa"/>
            <w:vAlign w:val="center"/>
          </w:tcPr>
          <w:p w14:paraId="4CE33FEB" w14:textId="1B3850D4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Ադենոզին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6մգ/2մլ, 2մլ</w:t>
            </w:r>
          </w:p>
        </w:tc>
        <w:tc>
          <w:tcPr>
            <w:tcW w:w="7276" w:type="dxa"/>
            <w:vAlign w:val="center"/>
          </w:tcPr>
          <w:p w14:paraId="4517F33C" w14:textId="27C0156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Ադենոզին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adenosine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3մգ/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2մլ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ամպուլա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դեղորայքի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24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2DB2EF8" w14:textId="3F5BA579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DA5C8B1" w14:textId="39E7E873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745D49" w:rsidRPr="00745D49" w14:paraId="3A129E91" w14:textId="77777777" w:rsidTr="00745D49">
        <w:trPr>
          <w:jc w:val="center"/>
        </w:trPr>
        <w:tc>
          <w:tcPr>
            <w:tcW w:w="680" w:type="dxa"/>
            <w:vAlign w:val="center"/>
          </w:tcPr>
          <w:p w14:paraId="3F884E93" w14:textId="7759F80A" w:rsidR="00745D49" w:rsidRPr="00745D49" w:rsidRDefault="00745D49" w:rsidP="00745D4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631" w:type="dxa"/>
            <w:vAlign w:val="center"/>
          </w:tcPr>
          <w:p w14:paraId="6B3B390A" w14:textId="567A835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33651111/1</w:t>
            </w:r>
          </w:p>
        </w:tc>
        <w:tc>
          <w:tcPr>
            <w:tcW w:w="2611" w:type="dxa"/>
            <w:vAlign w:val="center"/>
          </w:tcPr>
          <w:p w14:paraId="5A081417" w14:textId="36135ECF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Ամօքսիցիլին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250մգ/5մլ, 100մլ</w:t>
            </w:r>
          </w:p>
        </w:tc>
        <w:tc>
          <w:tcPr>
            <w:tcW w:w="7276" w:type="dxa"/>
            <w:vAlign w:val="center"/>
          </w:tcPr>
          <w:p w14:paraId="02F7A015" w14:textId="0F02F70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Ամօքսիցիլին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amoxicillin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ներքին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ընդունման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դեղակախույթի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250մգ/5մլ, 100մլ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ապակե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շշիկ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դեղորայքի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24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70C5046B" w14:textId="10CD6749" w:rsidR="00745D49" w:rsidRPr="00745D49" w:rsidRDefault="00745D49" w:rsidP="00745D4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1475EF4" w14:textId="33001763" w:rsidR="00745D49" w:rsidRPr="00745D49" w:rsidRDefault="00745D49" w:rsidP="00745D4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745D49" w:rsidRPr="00745D49" w14:paraId="3020B921" w14:textId="77777777" w:rsidTr="00745D49">
        <w:trPr>
          <w:jc w:val="center"/>
        </w:trPr>
        <w:tc>
          <w:tcPr>
            <w:tcW w:w="680" w:type="dxa"/>
            <w:vAlign w:val="center"/>
          </w:tcPr>
          <w:p w14:paraId="18DB9A2D" w14:textId="58898B83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631" w:type="dxa"/>
            <w:vAlign w:val="center"/>
          </w:tcPr>
          <w:p w14:paraId="3BB664CC" w14:textId="350E6592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33651112/2</w:t>
            </w:r>
          </w:p>
        </w:tc>
        <w:tc>
          <w:tcPr>
            <w:tcW w:w="2611" w:type="dxa"/>
            <w:vAlign w:val="center"/>
          </w:tcPr>
          <w:p w14:paraId="5F45C5A4" w14:textId="7FCB87C1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Ամօքսիցիլին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+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քլավուլոնաթթու</w:t>
            </w:r>
            <w:proofErr w:type="spellEnd"/>
          </w:p>
        </w:tc>
        <w:tc>
          <w:tcPr>
            <w:tcW w:w="7276" w:type="dxa"/>
            <w:vAlign w:val="center"/>
          </w:tcPr>
          <w:p w14:paraId="12BC1520" w14:textId="3E23EA81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Ամօքսիցիլին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+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քլավուլոնաթթու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amoxicillin clavulanic acid 500մգ+125մգ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դեղորայքի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24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5483195B" w14:textId="258E0FD3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470A2C2" w14:textId="5601E9D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745D49" w:rsidRPr="00745D49" w14:paraId="772D65F4" w14:textId="77777777" w:rsidTr="00745D49">
        <w:trPr>
          <w:jc w:val="center"/>
        </w:trPr>
        <w:tc>
          <w:tcPr>
            <w:tcW w:w="680" w:type="dxa"/>
            <w:vAlign w:val="center"/>
          </w:tcPr>
          <w:p w14:paraId="726AF9DB" w14:textId="1E47BECB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631" w:type="dxa"/>
            <w:vAlign w:val="center"/>
          </w:tcPr>
          <w:p w14:paraId="0D0042B8" w14:textId="045B6344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33651320/1</w:t>
            </w:r>
          </w:p>
        </w:tc>
        <w:tc>
          <w:tcPr>
            <w:tcW w:w="2611" w:type="dxa"/>
            <w:vAlign w:val="center"/>
          </w:tcPr>
          <w:p w14:paraId="5E0C3F92" w14:textId="30C50E16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Ցեֆեպիմ+սուլբակտամ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1000մգ+1000մգ</w:t>
            </w:r>
          </w:p>
        </w:tc>
        <w:tc>
          <w:tcPr>
            <w:tcW w:w="7276" w:type="dxa"/>
            <w:vAlign w:val="center"/>
          </w:tcPr>
          <w:p w14:paraId="16EF9CC2" w14:textId="02E8263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Ցեֆեպիմ+սուլբակտամ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cefepime+sulbactam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1000մգ+1000մգ,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ապակե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սրվակ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դեղորայքի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24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015D745B" w14:textId="2274D54B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9456B2C" w14:textId="77275F35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745D49" w:rsidRPr="00745D49" w14:paraId="3C9A6CC5" w14:textId="77777777" w:rsidTr="00745D49">
        <w:trPr>
          <w:jc w:val="center"/>
        </w:trPr>
        <w:tc>
          <w:tcPr>
            <w:tcW w:w="680" w:type="dxa"/>
            <w:vAlign w:val="center"/>
          </w:tcPr>
          <w:p w14:paraId="23AD2778" w14:textId="03AE609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631" w:type="dxa"/>
            <w:vAlign w:val="center"/>
          </w:tcPr>
          <w:p w14:paraId="44CFFABD" w14:textId="40FBD74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33651150/1</w:t>
            </w:r>
          </w:p>
        </w:tc>
        <w:tc>
          <w:tcPr>
            <w:tcW w:w="2611" w:type="dxa"/>
            <w:vAlign w:val="center"/>
          </w:tcPr>
          <w:p w14:paraId="79D2FDD2" w14:textId="0D17B1BF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Ֆլյուկոնազոլ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150մգ</w:t>
            </w:r>
          </w:p>
        </w:tc>
        <w:tc>
          <w:tcPr>
            <w:tcW w:w="7276" w:type="dxa"/>
            <w:vAlign w:val="center"/>
          </w:tcPr>
          <w:p w14:paraId="2E606756" w14:textId="1F0ECD2C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Ֆլյուկոնազոլ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fluconazole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դեղապատիճ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150մգ: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դեղորայքի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24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369266F" w14:textId="3C7C609A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3F44226" w14:textId="0A92C09A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745D49" w:rsidRPr="00745D49" w14:paraId="6906CC78" w14:textId="77777777" w:rsidTr="00745D49">
        <w:trPr>
          <w:jc w:val="center"/>
        </w:trPr>
        <w:tc>
          <w:tcPr>
            <w:tcW w:w="680" w:type="dxa"/>
            <w:vAlign w:val="center"/>
          </w:tcPr>
          <w:p w14:paraId="0B4B878E" w14:textId="309300E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631" w:type="dxa"/>
            <w:vAlign w:val="center"/>
          </w:tcPr>
          <w:p w14:paraId="6B9BF8B9" w14:textId="187ECC1C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33671111/1</w:t>
            </w:r>
          </w:p>
        </w:tc>
        <w:tc>
          <w:tcPr>
            <w:tcW w:w="2611" w:type="dxa"/>
            <w:vAlign w:val="center"/>
          </w:tcPr>
          <w:p w14:paraId="59A1BC81" w14:textId="15E1C584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Բուդեսոնիդ</w:t>
            </w:r>
            <w:proofErr w:type="spellEnd"/>
          </w:p>
        </w:tc>
        <w:tc>
          <w:tcPr>
            <w:tcW w:w="7276" w:type="dxa"/>
            <w:vAlign w:val="center"/>
          </w:tcPr>
          <w:p w14:paraId="2CC97EE6" w14:textId="116309BC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Բուդեսոնիդ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budesonid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ինհալիացիայի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սուսպենզիա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0.25մգ/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դեղաչափավորված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կոնտեյներ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2մլ: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lastRenderedPageBreak/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դեղորայքի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է՝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24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2,5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մնացորդային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91615D2" w14:textId="3AF38074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F4FF214" w14:textId="2A93B7EF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</w:tr>
      <w:tr w:rsidR="00745D49" w:rsidRPr="00745D49" w14:paraId="14DAF303" w14:textId="77777777" w:rsidTr="00745D49">
        <w:trPr>
          <w:jc w:val="center"/>
        </w:trPr>
        <w:tc>
          <w:tcPr>
            <w:tcW w:w="680" w:type="dxa"/>
            <w:vAlign w:val="center"/>
          </w:tcPr>
          <w:p w14:paraId="44DF0451" w14:textId="451B5987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631" w:type="dxa"/>
            <w:vAlign w:val="center"/>
          </w:tcPr>
          <w:p w14:paraId="3AB56068" w14:textId="536917A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33141211/209</w:t>
            </w:r>
          </w:p>
        </w:tc>
        <w:tc>
          <w:tcPr>
            <w:tcW w:w="2611" w:type="dxa"/>
            <w:vAlign w:val="center"/>
          </w:tcPr>
          <w:p w14:paraId="5B404C79" w14:textId="45E84563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Սպեյսեր</w:t>
            </w:r>
            <w:proofErr w:type="spellEnd"/>
          </w:p>
        </w:tc>
        <w:tc>
          <w:tcPr>
            <w:tcW w:w="7276" w:type="dxa"/>
            <w:vAlign w:val="center"/>
          </w:tcPr>
          <w:p w14:paraId="4CC29DDD" w14:textId="1F792E4A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Սփեյսեռի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դիմակը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սիլիկոնե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սփեյսերի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պոլիկարբոնատից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համարժեք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նյութից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փականները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սիլիկոնե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Կտորի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պարկը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80% (±5%)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բամբակ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20% (±3%)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պոլիէսթեր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Սփեյսերի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ծավալը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220մլ (±10մլ):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Սփեյսերի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տեսակները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0-2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տարեկան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նարնջագույն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դիմակով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2-6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տարեկան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դիմակով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6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տարեկանից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վարդագույն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դիմակով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6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տարեկանից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վարդագույն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առանց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դիմակ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Տեսակները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պահանջի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Բազմակի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օգտագործման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612F144E" w14:textId="000424D8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62AD930" w14:textId="3A061DDA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745D49" w:rsidRPr="00745D49" w14:paraId="6AE95B01" w14:textId="77777777" w:rsidTr="00745D49">
        <w:trPr>
          <w:jc w:val="center"/>
        </w:trPr>
        <w:tc>
          <w:tcPr>
            <w:tcW w:w="680" w:type="dxa"/>
            <w:vAlign w:val="center"/>
          </w:tcPr>
          <w:p w14:paraId="2EA97522" w14:textId="5DA7817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631" w:type="dxa"/>
            <w:vAlign w:val="center"/>
          </w:tcPr>
          <w:p w14:paraId="35FF7849" w14:textId="01BE28F5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33141211/210</w:t>
            </w:r>
          </w:p>
        </w:tc>
        <w:tc>
          <w:tcPr>
            <w:tcW w:w="2611" w:type="dxa"/>
            <w:vAlign w:val="center"/>
          </w:tcPr>
          <w:p w14:paraId="24B667AE" w14:textId="6AC28226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Մուշտուկ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սպիրոմետրի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276" w:type="dxa"/>
            <w:vAlign w:val="center"/>
          </w:tcPr>
          <w:p w14:paraId="04B44BEA" w14:textId="4307EE8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Համալսարանական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հիվանդանոցներում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շահագործվող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CareFusin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սպիրոմետրի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մուշտուկ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Մուշտուկի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դրսի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տրամագիծը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30մմ,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ներսի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տրամագիծը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29.7մմ,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70մմ: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ամբողջ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1/2-րդի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13D11159" w14:textId="17B4148F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69345CB" w14:textId="7285638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120</w:t>
            </w:r>
          </w:p>
        </w:tc>
      </w:tr>
      <w:tr w:rsidR="00745D49" w:rsidRPr="00745D49" w14:paraId="06D56ED3" w14:textId="77777777" w:rsidTr="00745D49">
        <w:trPr>
          <w:jc w:val="center"/>
        </w:trPr>
        <w:tc>
          <w:tcPr>
            <w:tcW w:w="680" w:type="dxa"/>
            <w:vAlign w:val="center"/>
          </w:tcPr>
          <w:p w14:paraId="15552289" w14:textId="0395B40E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631" w:type="dxa"/>
            <w:vAlign w:val="center"/>
          </w:tcPr>
          <w:p w14:paraId="7E1AAE45" w14:textId="152264BB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/>
                <w:sz w:val="18"/>
                <w:szCs w:val="18"/>
              </w:rPr>
              <w:t>33191490/5</w:t>
            </w:r>
          </w:p>
        </w:tc>
        <w:tc>
          <w:tcPr>
            <w:tcW w:w="2611" w:type="dxa"/>
            <w:vAlign w:val="center"/>
          </w:tcPr>
          <w:p w14:paraId="609C785D" w14:textId="45F3CDA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պոմպ</w:t>
            </w:r>
            <w:proofErr w:type="spellEnd"/>
          </w:p>
        </w:tc>
        <w:tc>
          <w:tcPr>
            <w:tcW w:w="7276" w:type="dxa"/>
            <w:vAlign w:val="center"/>
          </w:tcPr>
          <w:p w14:paraId="5B183B3B" w14:textId="06F1A12E" w:rsidR="00745D49" w:rsidRPr="005B178A" w:rsidRDefault="00745D49" w:rsidP="00745D49">
            <w:pPr>
              <w:jc w:val="center"/>
              <w:rPr>
                <w:rFonts w:ascii="GHEA Grapalat" w:hAnsi="GHEA Grapalat"/>
                <w:color w:val="EE0000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Մոնիտորը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3.4”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գունավոր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TFT LCD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տեսակի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հպումային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Մոնիտորի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լուծելիությունը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800 x 480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փիքսել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Մոնիտորի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պայծառության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1-10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աստիճան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Մոնիտորի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վրա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արտահայտվում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տեղեկատվությունը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բուժառուի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տվյալներ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ահազանգի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տվյալներ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ինֆուզիաի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ստատուս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համակարգի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վիճակի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ստատուս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Մուտքի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պաշտպանության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IP33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մակարդակ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Ճշգրտության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մակարդակը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±0</w:t>
            </w:r>
            <w:r w:rsidRPr="00745D4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745D49">
              <w:rPr>
                <w:rFonts w:ascii="GHEA Grapalat" w:hAnsi="GHEA Grapalat"/>
                <w:sz w:val="18"/>
                <w:szCs w:val="18"/>
              </w:rPr>
              <w:t xml:space="preserve">5%։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Բոլյուսային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հոսքի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շեղումն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առավելագույնը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±0</w:t>
            </w:r>
            <w:r w:rsidRPr="00745D4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745D49">
              <w:rPr>
                <w:rFonts w:ascii="GHEA Grapalat" w:hAnsi="GHEA Grapalat"/>
                <w:sz w:val="18"/>
                <w:szCs w:val="18"/>
              </w:rPr>
              <w:t xml:space="preserve">2%։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Հոսքի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արագությունները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1ml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(0.01~50.00)ml/h, 2ml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3ml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(0.10~150.0)ml/h, 5ml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(0.10~300.0)ml/h, 10ml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(0.10~800.0)ml/h, 20ml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(0.10~1200)ml/h, 30ml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(0.10~1500)ml/h, 50ml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(0.10~2350)ml/h։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Հոսքի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աճ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(0.01~99.99)ml/h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0.01ml/h,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(100.0~999.9)ml/h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0.1ml/h,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(1000~2350)ml/h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 1ml/h։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Բոլյուսային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հոսքի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արագությունների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մանուալ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1ml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(0.01~50.00)ml/h, 2ml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3ml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(0.10~150.0)ml/h, 5ml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(0.10~300.0)ml/h, 10ml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(0.10~800.0)ml/h, 20ml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(0.10~1200)ml/h, 30ml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(0.10~1500)ml/h, 50ml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(0.10~2350)ml/h։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Բոլուսի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(0.01~99.99)ml/h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0.01ml/h,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(100.0~999.9)ml/h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0.1ml/h,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(1000~2350)ml/h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1ml/h 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Խցանման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հայտնաբերում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lastRenderedPageBreak/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150, 225, 300, 375, 450, 525, 600, 675, 750, 825, 900, 975, 1050, 1125mmHg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ճնշումների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պայմաններում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Խցանման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տագնապի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շեղում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առավելագույնը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առաջին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աստիճանում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50 mmHg,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աստիճաններում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ռավելագույնը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±145mmHg։ KVO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հոսքի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արագություն՝1ml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(0.01~5.00)ml/h,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չափի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(0.10~5.00)ml/h։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Ժամանակի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միջակայքը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00:00:01~99:59:59։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Ներարկվող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ծավալ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0.10~9999.99ml,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առավելագույնը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0.01ml/h։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Կուտակված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ծավալը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0.00~99999.99ml,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քայլը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առավելագույնը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0.01ml/h։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Դոզավորման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միջակայքը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0.001~99999։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միավորներն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ng, ug, mg, g,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mU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U,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kU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EU, mmol, mol,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mcal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cal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kcal,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mEq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Դոզավորման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միջակայքը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0.001~99999։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Դոզավորման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արագության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միավորներն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X/min, X/h, X/24h, X/kg/h, X/kg/24h, X/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lb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/min, X/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lb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>/h, X/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lb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/24h,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որտեղ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X-ը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կարող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կրել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հետևյալ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արժեքները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ng, ug, mg, g,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mU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U,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kU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EU, mmol, mol,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mcal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cal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kcal,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mEq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Ծավալի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միջակայքը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0.10~9999.99ml։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գրադարան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5000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դեղերի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տվյալներով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30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կատեգորիայով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տեսակի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գունային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կարգավորման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5000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բուժառուի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Էկրանը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կողպելու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 Նախատեսված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1ml, 2ml, 3ml, 5ml, 10ml, 20ml, 30ml, 50ml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ներարկիչների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դրանց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ճանաչելու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տեսանելի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լսելի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ազդանշաններ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աստիճանի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ազդանշաններ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միջին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ցածր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wired և wireless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հաղորդակցության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USB, RS232, nurse call connector, DC adapter։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Լիթիում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իոնային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նիկել-ջրածնային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մարտկոց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3050mAh: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Աշխատաժամանակը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8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25ml/h-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3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2350ml/h-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ում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Սնուցումը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100-240V, 50/60Hz: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Չափերը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LxWxH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) 270mm×170mm×80mm (±10մմ)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ամեն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կողմի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Դասակարգումն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Class I, Type CF։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CE Mark, ISO 13485: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Սարքավորումը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չօգտագործված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գործարանային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փաթեթավորմամբ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Երաշխիքային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պահից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Մատակարարը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անհրաժեշտ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մասնագիտական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կազմը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սարքավորման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տեղադրման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ուսուցման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սպասարկման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վերանորոգումների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իրականացման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5D49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745D49">
              <w:rPr>
                <w:rFonts w:ascii="GHEA Grapalat" w:hAnsi="GHEA Grapalat"/>
                <w:sz w:val="18"/>
                <w:szCs w:val="18"/>
              </w:rPr>
              <w:t xml:space="preserve">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Մասնակիցը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հայտում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՝ «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առաջարկվող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ապրանքի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ամբողջական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նկարագիր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նաև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ապրանքի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մոդելը</w:t>
            </w:r>
            <w:proofErr w:type="spellEnd"/>
            <w:r w:rsidRPr="005B178A">
              <w:rPr>
                <w:rFonts w:ascii="GHEA Grapalat" w:hAnsi="GHEA Grapalat"/>
                <w:color w:val="EE0000"/>
                <w:sz w:val="18"/>
                <w:szCs w:val="18"/>
              </w:rPr>
              <w:t>:</w:t>
            </w:r>
          </w:p>
          <w:p w14:paraId="6DC265D1" w14:textId="36F698CD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14:paraId="55C9018E" w14:textId="5A110443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B4D7D87" w14:textId="1BA3AD5A" w:rsidR="00745D49" w:rsidRPr="00745D49" w:rsidRDefault="00745D49" w:rsidP="00745D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5D49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185BE83B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08B3CED6" w14:textId="77777777" w:rsidR="005B178A" w:rsidRDefault="005B178A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</w:p>
    <w:p w14:paraId="38B631E2" w14:textId="2CE5D89D" w:rsidR="00C64003" w:rsidRPr="00A27424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lastRenderedPageBreak/>
        <w:t xml:space="preserve">* </w:t>
      </w:r>
      <w:proofErr w:type="spellStart"/>
      <w:r w:rsidRPr="00A27424">
        <w:rPr>
          <w:rFonts w:ascii="GHEA Grapalat" w:hAnsi="GHEA Grapalat"/>
          <w:sz w:val="20"/>
          <w:szCs w:val="20"/>
        </w:rPr>
        <w:t>Բոլոր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ապրանքները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նոր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են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չօգտագործված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37CB5CAA" w14:textId="440D5426" w:rsidR="00C759B9" w:rsidRPr="00A27424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 xml:space="preserve">**1-ից </w:t>
      </w:r>
      <w:r w:rsidR="00A27424" w:rsidRPr="00A27424">
        <w:rPr>
          <w:rFonts w:ascii="GHEA Grapalat" w:hAnsi="GHEA Grapalat"/>
          <w:sz w:val="20"/>
          <w:szCs w:val="20"/>
        </w:rPr>
        <w:t>14</w:t>
      </w:r>
      <w:r w:rsidRPr="00A27424">
        <w:rPr>
          <w:rFonts w:ascii="GHEA Grapalat" w:hAnsi="GHEA Grapalat"/>
          <w:sz w:val="20"/>
          <w:szCs w:val="20"/>
        </w:rPr>
        <w:t xml:space="preserve">-րդ </w:t>
      </w:r>
      <w:proofErr w:type="spellStart"/>
      <w:r w:rsidRPr="00A27424">
        <w:rPr>
          <w:rFonts w:ascii="GHEA Grapalat" w:hAnsi="GHEA Grapalat"/>
          <w:sz w:val="20"/>
          <w:szCs w:val="20"/>
        </w:rPr>
        <w:t>չափաբաժիններում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ապրանքների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մատակարարման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իրականացվում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2025 </w:t>
      </w:r>
      <w:proofErr w:type="spellStart"/>
      <w:r w:rsidRPr="00A27424">
        <w:rPr>
          <w:rFonts w:ascii="GHEA Grapalat" w:hAnsi="GHEA Grapalat"/>
          <w:sz w:val="20"/>
          <w:szCs w:val="20"/>
        </w:rPr>
        <w:t>թվականին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փուլային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A27424">
        <w:rPr>
          <w:rFonts w:ascii="GHEA Grapalat" w:hAnsi="GHEA Grapalat"/>
          <w:sz w:val="20"/>
          <w:szCs w:val="20"/>
        </w:rPr>
        <w:t>ըստ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պահանջի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A27424">
        <w:rPr>
          <w:rFonts w:ascii="GHEA Grapalat" w:hAnsi="GHEA Grapalat"/>
          <w:sz w:val="20"/>
          <w:szCs w:val="20"/>
        </w:rPr>
        <w:t>Ընդ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որում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առաջին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փուլի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ժամկետը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է՝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պայմանագիրն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ուժի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մեջ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մտնելու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օրվանից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սկսած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20 </w:t>
      </w:r>
      <w:proofErr w:type="spellStart"/>
      <w:r w:rsidRPr="00A27424">
        <w:rPr>
          <w:rFonts w:ascii="GHEA Grapalat" w:hAnsi="GHEA Grapalat"/>
          <w:sz w:val="20"/>
          <w:szCs w:val="20"/>
        </w:rPr>
        <w:t>օրացույցային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օրվա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ընթացքում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456396F5" w14:textId="06BA200A" w:rsidR="00C759B9" w:rsidRPr="00A27424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 xml:space="preserve">***1-ից </w:t>
      </w:r>
      <w:r w:rsidR="00A27424" w:rsidRPr="00A27424">
        <w:rPr>
          <w:rFonts w:ascii="GHEA Grapalat" w:hAnsi="GHEA Grapalat"/>
          <w:sz w:val="20"/>
          <w:szCs w:val="20"/>
        </w:rPr>
        <w:t>14</w:t>
      </w:r>
      <w:r w:rsidRPr="00A27424">
        <w:rPr>
          <w:rFonts w:ascii="GHEA Grapalat" w:hAnsi="GHEA Grapalat"/>
          <w:sz w:val="20"/>
          <w:szCs w:val="20"/>
        </w:rPr>
        <w:t xml:space="preserve">-րդ </w:t>
      </w:r>
      <w:proofErr w:type="spellStart"/>
      <w:r w:rsidRPr="00A27424">
        <w:rPr>
          <w:rFonts w:ascii="GHEA Grapalat" w:hAnsi="GHEA Grapalat"/>
          <w:sz w:val="20"/>
          <w:szCs w:val="20"/>
        </w:rPr>
        <w:t>չափաբաժիններում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ապրանքների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մատակարարումն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իրականացվում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ըստ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ներկայացված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պահանջի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A27424">
        <w:rPr>
          <w:rFonts w:ascii="GHEA Grapalat" w:hAnsi="GHEA Grapalat"/>
          <w:sz w:val="20"/>
          <w:szCs w:val="20"/>
        </w:rPr>
        <w:t>Եթե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գործողության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ընթացքում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գնման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առարկայի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պահանջը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ներկայացվել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ոչ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ամբողջ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ապա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գնման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առարկայի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չմատակարարված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մնացորդային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պայմանագիրը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լուծվում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է:</w:t>
      </w:r>
    </w:p>
    <w:p w14:paraId="2AEA07C2" w14:textId="25859979" w:rsidR="00C759B9" w:rsidRPr="00A27424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>****</w:t>
      </w:r>
      <w:r w:rsidR="00A27424" w:rsidRPr="00A27424">
        <w:rPr>
          <w:rFonts w:ascii="GHEA Grapalat" w:hAnsi="GHEA Grapalat"/>
          <w:sz w:val="20"/>
          <w:szCs w:val="20"/>
        </w:rPr>
        <w:t>15</w:t>
      </w:r>
      <w:r w:rsidRPr="00A27424">
        <w:rPr>
          <w:rFonts w:ascii="GHEA Grapalat" w:hAnsi="GHEA Grapalat"/>
          <w:sz w:val="20"/>
          <w:szCs w:val="20"/>
        </w:rPr>
        <w:t xml:space="preserve">-րդ  </w:t>
      </w:r>
      <w:proofErr w:type="spellStart"/>
      <w:r w:rsidRPr="00A27424">
        <w:rPr>
          <w:rFonts w:ascii="GHEA Grapalat" w:hAnsi="GHEA Grapalat"/>
          <w:sz w:val="20"/>
          <w:szCs w:val="20"/>
        </w:rPr>
        <w:t>չափաբաժնում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մատակարարումն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իրականացվում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պայամագիր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կնքելու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օրվանից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սկսած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60 </w:t>
      </w:r>
      <w:proofErr w:type="spellStart"/>
      <w:r w:rsidRPr="00A27424">
        <w:rPr>
          <w:rFonts w:ascii="GHEA Grapalat" w:hAnsi="GHEA Grapalat"/>
          <w:sz w:val="20"/>
          <w:szCs w:val="20"/>
        </w:rPr>
        <w:t>օրացույցային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օրվա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ընթացքում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: </w:t>
      </w:r>
    </w:p>
    <w:p w14:paraId="799399DF" w14:textId="77777777" w:rsidR="00A27424" w:rsidRPr="00A27424" w:rsidRDefault="00C759B9" w:rsidP="00A27424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>*****</w:t>
      </w:r>
      <w:r w:rsidR="00A27424" w:rsidRPr="00A27424">
        <w:rPr>
          <w:rFonts w:ascii="GHEA Grapalat" w:hAnsi="GHEA Grapalat"/>
          <w:sz w:val="20"/>
          <w:szCs w:val="20"/>
        </w:rPr>
        <w:t xml:space="preserve">6-ից 12-րդ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չափաբաժինների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համար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պարտադիր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պայման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հանդիսանում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մասնակցի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հայտը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ներկայացնելու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օրվա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դրությամբ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ինչպես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նաև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մատակարարման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պահին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դեղը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պետք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գրանցված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լինի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դեղերի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պետական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գրանցամատյանում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ռեեստր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),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ընդ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որում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մատակարարման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պահին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կիրառելի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նաև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դեղերի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մասին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ՀՀ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Օրենքի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23-րդ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հոդվածի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3-րդ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մասով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27424" w:rsidRPr="00A27424">
        <w:rPr>
          <w:rFonts w:ascii="GHEA Grapalat" w:hAnsi="GHEA Grapalat"/>
          <w:sz w:val="20"/>
          <w:szCs w:val="20"/>
        </w:rPr>
        <w:t>պահանջները</w:t>
      </w:r>
      <w:proofErr w:type="spellEnd"/>
      <w:r w:rsidR="00A27424" w:rsidRPr="00A27424">
        <w:rPr>
          <w:rFonts w:ascii="GHEA Grapalat" w:hAnsi="GHEA Grapalat"/>
          <w:sz w:val="20"/>
          <w:szCs w:val="20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83054F" w14:textId="3F0468D1" w:rsidR="00A27424" w:rsidRPr="00A27424" w:rsidRDefault="00A27424" w:rsidP="00A27424">
      <w:pPr>
        <w:spacing w:after="0" w:line="240" w:lineRule="auto"/>
        <w:rPr>
          <w:rFonts w:ascii="GHEA Grapalat" w:hAnsi="GHEA Grapalat"/>
          <w:sz w:val="20"/>
          <w:szCs w:val="20"/>
        </w:rPr>
      </w:pPr>
      <w:proofErr w:type="spellStart"/>
      <w:r w:rsidRPr="00A27424">
        <w:rPr>
          <w:rFonts w:ascii="GHEA Grapalat" w:hAnsi="GHEA Grapalat"/>
          <w:sz w:val="20"/>
          <w:szCs w:val="20"/>
        </w:rPr>
        <w:t>Դեղը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պետական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գրանցամատյանում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չգրանցված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լինելու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դեպքում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մասնակիցը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որակավորման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ապահովումների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հետ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միաժամանակ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չգրանցված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դեղերի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պարտադիր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ներկայացնում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ՀՀ </w:t>
      </w:r>
      <w:proofErr w:type="spellStart"/>
      <w:r w:rsidRPr="00A27424">
        <w:rPr>
          <w:rFonts w:ascii="GHEA Grapalat" w:hAnsi="GHEA Grapalat"/>
          <w:sz w:val="20"/>
          <w:szCs w:val="20"/>
        </w:rPr>
        <w:t>առողջապահության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նախարարության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Դեղերի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բժշկական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տեխնոլոգիաների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փորձագիտական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կենտրոն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ՊՈԱԿ-ի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տրված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հավաստող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տեղեկանք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A27424">
        <w:rPr>
          <w:rFonts w:ascii="GHEA Grapalat" w:hAnsi="GHEA Grapalat"/>
          <w:sz w:val="20"/>
          <w:szCs w:val="20"/>
        </w:rPr>
        <w:t>Հայաստանի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կառավարության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2017 </w:t>
      </w:r>
      <w:proofErr w:type="spellStart"/>
      <w:r w:rsidRPr="00A27424">
        <w:rPr>
          <w:rFonts w:ascii="GHEA Grapalat" w:hAnsi="GHEA Grapalat"/>
          <w:sz w:val="20"/>
          <w:szCs w:val="20"/>
        </w:rPr>
        <w:t>թվականի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փետրվարի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23-ի N 172-Ա </w:t>
      </w:r>
      <w:proofErr w:type="spellStart"/>
      <w:r w:rsidRPr="00A27424">
        <w:rPr>
          <w:rFonts w:ascii="GHEA Grapalat" w:hAnsi="GHEA Grapalat"/>
          <w:sz w:val="20"/>
          <w:szCs w:val="20"/>
        </w:rPr>
        <w:t>որոշմամբ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միջազգային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կազմակերպության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ԵԱՏՄ </w:t>
      </w:r>
      <w:proofErr w:type="spellStart"/>
      <w:r w:rsidRPr="00A27424">
        <w:rPr>
          <w:rFonts w:ascii="GHEA Grapalat" w:hAnsi="GHEA Grapalat"/>
          <w:sz w:val="20"/>
          <w:szCs w:val="20"/>
        </w:rPr>
        <w:t>անդամ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հանդիսացող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երկրներում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գրանցված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լինելու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Առողջապահության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համաշխարհային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կազմակերպության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նախաորակավորում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ունենալու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ինչպես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նաև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Դեղերի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օրենքի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21-րդ </w:t>
      </w:r>
      <w:proofErr w:type="spellStart"/>
      <w:r w:rsidRPr="00A27424">
        <w:rPr>
          <w:rFonts w:ascii="GHEA Grapalat" w:hAnsi="GHEA Grapalat"/>
          <w:sz w:val="20"/>
          <w:szCs w:val="20"/>
        </w:rPr>
        <w:t>հոդվածի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8-րդ </w:t>
      </w:r>
      <w:proofErr w:type="spellStart"/>
      <w:r w:rsidRPr="00A27424">
        <w:rPr>
          <w:rFonts w:ascii="GHEA Grapalat" w:hAnsi="GHEA Grapalat"/>
          <w:sz w:val="20"/>
          <w:szCs w:val="20"/>
        </w:rPr>
        <w:t>մասի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17-րդ </w:t>
      </w:r>
      <w:proofErr w:type="spellStart"/>
      <w:r w:rsidRPr="00A27424">
        <w:rPr>
          <w:rFonts w:ascii="GHEA Grapalat" w:hAnsi="GHEA Grapalat"/>
          <w:sz w:val="20"/>
          <w:szCs w:val="20"/>
        </w:rPr>
        <w:t>կետով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ներմուծման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մերժման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հիմքերի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բացակայության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մասին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736F86EE" w14:textId="77777777" w:rsidR="00A27424" w:rsidRPr="00A27424" w:rsidRDefault="00A27424" w:rsidP="00A27424">
      <w:pPr>
        <w:spacing w:after="0" w:line="240" w:lineRule="auto"/>
        <w:rPr>
          <w:rFonts w:ascii="GHEA Grapalat" w:hAnsi="GHEA Grapalat"/>
          <w:sz w:val="20"/>
          <w:szCs w:val="20"/>
        </w:rPr>
      </w:pPr>
      <w:proofErr w:type="spellStart"/>
      <w:r w:rsidRPr="00A27424">
        <w:rPr>
          <w:rFonts w:ascii="GHEA Grapalat" w:hAnsi="GHEA Grapalat"/>
          <w:sz w:val="20"/>
          <w:szCs w:val="20"/>
        </w:rPr>
        <w:t>Դեղը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պետական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գրանցամատյանում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չգրանցված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լինելու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դեպքում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մասնակիցը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կատարման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փուլում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մատակարարվող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հետ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մեկտեղ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պետք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ներկայացնի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տվյալ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ՀՀ ԱՆ-ի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տրամադրված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ներմուծման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հավասատագիր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1898537F" w14:textId="593A95E1" w:rsidR="00A27424" w:rsidRPr="00A27424" w:rsidRDefault="00A27424" w:rsidP="00A27424">
      <w:pPr>
        <w:spacing w:after="0" w:line="240" w:lineRule="auto"/>
        <w:rPr>
          <w:rFonts w:ascii="GHEA Grapalat" w:hAnsi="GHEA Grapalat"/>
          <w:sz w:val="20"/>
          <w:szCs w:val="20"/>
        </w:rPr>
      </w:pPr>
      <w:proofErr w:type="spellStart"/>
      <w:r w:rsidRPr="00A27424">
        <w:rPr>
          <w:rFonts w:ascii="GHEA Grapalat" w:hAnsi="GHEA Grapalat"/>
          <w:sz w:val="20"/>
          <w:szCs w:val="20"/>
        </w:rPr>
        <w:t>Տեղափոխման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պահպանման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պայմանները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A27424">
        <w:rPr>
          <w:rFonts w:ascii="GHEA Grapalat" w:hAnsi="GHEA Grapalat"/>
          <w:sz w:val="20"/>
          <w:szCs w:val="20"/>
        </w:rPr>
        <w:t>համաձայն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դեղերի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օրենքի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22-րդ </w:t>
      </w:r>
      <w:proofErr w:type="spellStart"/>
      <w:r w:rsidRPr="00A27424">
        <w:rPr>
          <w:rFonts w:ascii="GHEA Grapalat" w:hAnsi="GHEA Grapalat"/>
          <w:sz w:val="20"/>
          <w:szCs w:val="20"/>
        </w:rPr>
        <w:t>հոդվածի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5B84FCB6" w14:textId="77777777" w:rsidR="00A27424" w:rsidRPr="00A27424" w:rsidRDefault="00A27424" w:rsidP="00A27424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>«</w:t>
      </w:r>
      <w:proofErr w:type="spellStart"/>
      <w:r w:rsidRPr="00A27424">
        <w:rPr>
          <w:rFonts w:ascii="GHEA Grapalat" w:hAnsi="GHEA Grapalat"/>
          <w:sz w:val="20"/>
          <w:szCs w:val="20"/>
        </w:rPr>
        <w:t>Ակադեմիկոս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Էմիլ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Գաբրիելյանի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անվան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դեղերի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բժշկական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տեխնոլոգիաների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փորձագիտական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կենտրոն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A27424">
        <w:rPr>
          <w:rFonts w:ascii="GHEA Grapalat" w:hAnsi="GHEA Grapalat"/>
          <w:sz w:val="20"/>
          <w:szCs w:val="20"/>
        </w:rPr>
        <w:t>փակ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բաժնետիրական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ընկերության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իրականացված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լաբորատոր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փորձաքննության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եզրակացությունը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մասնակցի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կատարման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փուլում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ներկայացվում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եթե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առկա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չէ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ՀՀ </w:t>
      </w:r>
      <w:proofErr w:type="spellStart"/>
      <w:r w:rsidRPr="00A27424">
        <w:rPr>
          <w:rFonts w:ascii="GHEA Grapalat" w:hAnsi="GHEA Grapalat"/>
          <w:sz w:val="20"/>
          <w:szCs w:val="20"/>
        </w:rPr>
        <w:t>կառավարության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502-Ն </w:t>
      </w:r>
      <w:proofErr w:type="spellStart"/>
      <w:r w:rsidRPr="00A27424">
        <w:rPr>
          <w:rFonts w:ascii="GHEA Grapalat" w:hAnsi="GHEA Grapalat"/>
          <w:sz w:val="20"/>
          <w:szCs w:val="20"/>
        </w:rPr>
        <w:t>որոշմամբ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հսատատված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կարգի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3-րդ </w:t>
      </w:r>
      <w:proofErr w:type="spellStart"/>
      <w:r w:rsidRPr="00A27424">
        <w:rPr>
          <w:rFonts w:ascii="GHEA Grapalat" w:hAnsi="GHEA Grapalat"/>
          <w:sz w:val="20"/>
          <w:szCs w:val="20"/>
        </w:rPr>
        <w:t>կետի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8-րդ </w:t>
      </w:r>
      <w:proofErr w:type="spellStart"/>
      <w:r w:rsidRPr="00A27424">
        <w:rPr>
          <w:rFonts w:ascii="GHEA Grapalat" w:hAnsi="GHEA Grapalat"/>
          <w:sz w:val="20"/>
          <w:szCs w:val="20"/>
        </w:rPr>
        <w:t>ենթակետով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դեպքերից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մեկը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2525166B" w14:textId="77B2427E" w:rsidR="00C759B9" w:rsidRPr="00A27424" w:rsidRDefault="00C759B9" w:rsidP="00A27424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>*******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Մասնակցի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բնութագիրը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իսկ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հրավերով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դեպքերում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նաև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առաջարկվող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նշանը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արտադրողի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անվանումը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իսկ</w:t>
      </w:r>
      <w:proofErr w:type="spellEnd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r w:rsidR="00A27424" w:rsidRPr="00A27424">
        <w:rPr>
          <w:rFonts w:ascii="GHEA Grapalat" w:hAnsi="GHEA Grapalat"/>
          <w:b/>
          <w:bCs/>
          <w:color w:val="EE0000"/>
          <w:sz w:val="20"/>
          <w:szCs w:val="20"/>
        </w:rPr>
        <w:t>15</w:t>
      </w:r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-րդ </w:t>
      </w:r>
      <w:proofErr w:type="spellStart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չափաբաժնում</w:t>
      </w:r>
      <w:proofErr w:type="spellEnd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նաև</w:t>
      </w:r>
      <w:proofErr w:type="spellEnd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մոդելը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պետք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համապատասխանեն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միմյանց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հրավերով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բնութագրի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նվազագույն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A27424">
        <w:rPr>
          <w:rFonts w:ascii="GHEA Grapalat" w:hAnsi="GHEA Grapalat"/>
          <w:sz w:val="20"/>
          <w:szCs w:val="20"/>
        </w:rPr>
        <w:t>Տվյալ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դեպքում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գնահատող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գնահատում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նաև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ներկայացված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ամբողջական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նկարագրերի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համապատասխանությունը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հրավերի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և </w:t>
      </w:r>
      <w:proofErr w:type="spellStart"/>
      <w:r w:rsidRPr="00A27424">
        <w:rPr>
          <w:rFonts w:ascii="GHEA Grapalat" w:hAnsi="GHEA Grapalat"/>
          <w:sz w:val="20"/>
          <w:szCs w:val="20"/>
        </w:rPr>
        <w:t>եթե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գնահատող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մասնակցի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հայտով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առաջարկվող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ամբողջական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նկարագրում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արձանագրում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 </w:t>
      </w:r>
      <w:proofErr w:type="spellStart"/>
      <w:r w:rsidRPr="00A27424">
        <w:rPr>
          <w:rFonts w:ascii="GHEA Grapalat" w:hAnsi="GHEA Grapalat"/>
          <w:sz w:val="20"/>
          <w:szCs w:val="20"/>
        </w:rPr>
        <w:t>հրավերով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նկատմամբ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անհամապատասխանություններ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դրանք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կարգով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չեն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շտկվում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մասնակցի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շտկման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արդյունքում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առաջանում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են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այլ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անհամապատասխանություններ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ապա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նշված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հանգամանքը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հանդիսանում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որպես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գնման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գործընթացի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շրջանակում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ստանձնված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պարտավորության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խախտում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հիմք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հանդիսանում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տվյալ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մասնակցի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A27424">
        <w:rPr>
          <w:rFonts w:ascii="GHEA Grapalat" w:hAnsi="GHEA Grapalat"/>
          <w:sz w:val="20"/>
          <w:szCs w:val="20"/>
        </w:rPr>
        <w:t>հայտը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անբավարար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գնահատելու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մերժելու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համար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739D236D" w14:textId="4FB22CB4" w:rsidR="00C759B9" w:rsidRPr="00A27424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>********</w:t>
      </w:r>
      <w:proofErr w:type="spellStart"/>
      <w:r w:rsidRPr="00A27424">
        <w:rPr>
          <w:rFonts w:ascii="GHEA Grapalat" w:hAnsi="GHEA Grapalat"/>
          <w:sz w:val="20"/>
          <w:szCs w:val="20"/>
        </w:rPr>
        <w:t>Բոլոր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չափաբաժինների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պարտադիր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ներկայացնել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նշանը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արտադրողի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A27424">
        <w:rPr>
          <w:rFonts w:ascii="GHEA Grapalat" w:hAnsi="GHEA Grapalat"/>
          <w:sz w:val="20"/>
          <w:szCs w:val="20"/>
        </w:rPr>
        <w:t>արտադրող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կազմակերպությունը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A27424">
        <w:rPr>
          <w:rFonts w:ascii="GHEA Grapalat" w:hAnsi="GHEA Grapalat"/>
          <w:sz w:val="20"/>
          <w:szCs w:val="20"/>
        </w:rPr>
        <w:t>պարտադիր</w:t>
      </w:r>
      <w:proofErr w:type="spellEnd"/>
      <w:r w:rsidRPr="00A27424">
        <w:rPr>
          <w:rFonts w:ascii="GHEA Grapalat" w:hAnsi="GHEA Grapalat"/>
          <w:sz w:val="20"/>
          <w:szCs w:val="20"/>
        </w:rPr>
        <w:t>),</w:t>
      </w:r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իսկ</w:t>
      </w:r>
      <w:proofErr w:type="spellEnd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r w:rsidR="00A27424" w:rsidRPr="00A27424">
        <w:rPr>
          <w:rFonts w:ascii="GHEA Grapalat" w:hAnsi="GHEA Grapalat"/>
          <w:b/>
          <w:bCs/>
          <w:color w:val="EE0000"/>
          <w:sz w:val="20"/>
          <w:szCs w:val="20"/>
        </w:rPr>
        <w:t>15</w:t>
      </w:r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-րդ </w:t>
      </w:r>
      <w:proofErr w:type="spellStart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չափաբաժնում</w:t>
      </w:r>
      <w:proofErr w:type="spellEnd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` </w:t>
      </w:r>
      <w:proofErr w:type="spellStart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նաև</w:t>
      </w:r>
      <w:proofErr w:type="spellEnd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մոդելը</w:t>
      </w:r>
      <w:proofErr w:type="spellEnd"/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 xml:space="preserve"> (</w:t>
      </w:r>
      <w:r w:rsidRPr="00A27424">
        <w:rPr>
          <w:rFonts w:ascii="GHEA Grapalat" w:hAnsi="GHEA Grapalat"/>
          <w:b/>
          <w:bCs/>
          <w:color w:val="EE0000"/>
          <w:sz w:val="20"/>
          <w:szCs w:val="20"/>
          <w:lang w:val="hy-AM"/>
        </w:rPr>
        <w:t>թիվ 1-</w:t>
      </w:r>
      <w:r w:rsidR="00A27424" w:rsidRPr="00A27424">
        <w:rPr>
          <w:rFonts w:ascii="GHEA Grapalat" w:hAnsi="GHEA Grapalat"/>
          <w:b/>
          <w:bCs/>
          <w:color w:val="EE0000"/>
          <w:sz w:val="20"/>
          <w:szCs w:val="20"/>
          <w:lang w:val="hy-AM"/>
        </w:rPr>
        <w:t>14</w:t>
      </w:r>
      <w:r w:rsidRPr="00A27424">
        <w:rPr>
          <w:rFonts w:ascii="GHEA Grapalat" w:hAnsi="GHEA Grapalat"/>
          <w:b/>
          <w:bCs/>
          <w:color w:val="EE0000"/>
          <w:sz w:val="20"/>
          <w:szCs w:val="20"/>
          <w:lang w:val="hy-AM"/>
        </w:rPr>
        <w:t xml:space="preserve"> չափաբաժինների մասով մոդելի ներկայացման պահանջ նախատեսված չէ, մոդել սյունյակում ներկայացվելիք տեղեկատվությունը գնահատման ենթակա չէ</w:t>
      </w:r>
      <w:r w:rsidRPr="00A27424">
        <w:rPr>
          <w:rFonts w:ascii="GHEA Grapalat" w:hAnsi="GHEA Grapalat"/>
          <w:b/>
          <w:bCs/>
          <w:color w:val="EE0000"/>
          <w:sz w:val="20"/>
          <w:szCs w:val="20"/>
        </w:rPr>
        <w:t>)</w:t>
      </w:r>
      <w:r w:rsidRPr="00A27424">
        <w:rPr>
          <w:rFonts w:ascii="GHEA Grapalat" w:hAnsi="GHEA Grapalat"/>
          <w:sz w:val="20"/>
          <w:szCs w:val="20"/>
        </w:rPr>
        <w:t xml:space="preserve"> :</w:t>
      </w:r>
    </w:p>
    <w:p w14:paraId="790B307B" w14:textId="0152A131" w:rsidR="00C759B9" w:rsidRPr="00A27424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>*********</w:t>
      </w:r>
      <w:proofErr w:type="spellStart"/>
      <w:r w:rsidRPr="00A27424">
        <w:rPr>
          <w:rFonts w:ascii="GHEA Grapalat" w:hAnsi="GHEA Grapalat"/>
          <w:sz w:val="20"/>
          <w:szCs w:val="20"/>
        </w:rPr>
        <w:t>Մասնակցի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կողմից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հայտով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միևնույն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մեկից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ավել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նշան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արտադրող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ներկայացնելու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դեպքում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կատարման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փուլում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պայմանագրով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ողջ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միանվագ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(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A27424">
        <w:rPr>
          <w:rFonts w:ascii="GHEA Grapalat" w:hAnsi="GHEA Grapalat"/>
          <w:sz w:val="20"/>
          <w:szCs w:val="20"/>
        </w:rPr>
        <w:t>փուլային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lastRenderedPageBreak/>
        <w:t>մատակարարումն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իրականացվելու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պայմանագրով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սահմանված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ապրանքային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նշաններից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արտադրողներից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միայն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մեկով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A27424">
        <w:rPr>
          <w:rFonts w:ascii="GHEA Grapalat" w:hAnsi="GHEA Grapalat"/>
          <w:sz w:val="20"/>
          <w:szCs w:val="20"/>
        </w:rPr>
        <w:t>ըստ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մատակարարի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ընտրության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65AADF27" w14:textId="5843AD3C" w:rsidR="00C759B9" w:rsidRPr="00A27424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>**********</w:t>
      </w:r>
      <w:proofErr w:type="spellStart"/>
      <w:r w:rsidRPr="00A27424">
        <w:rPr>
          <w:rFonts w:ascii="GHEA Grapalat" w:hAnsi="GHEA Grapalat"/>
          <w:sz w:val="20"/>
          <w:szCs w:val="20"/>
        </w:rPr>
        <w:t>Բոլոր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չափաբաժիններում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A27424">
        <w:rPr>
          <w:rFonts w:ascii="GHEA Grapalat" w:hAnsi="GHEA Grapalat"/>
          <w:sz w:val="20"/>
          <w:szCs w:val="20"/>
        </w:rPr>
        <w:t>եթե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առկա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են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հղումներ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ֆիրմային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անվանմանը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արտոնագրին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էսքիզին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մոդելին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27424">
        <w:rPr>
          <w:rFonts w:ascii="GHEA Grapalat" w:hAnsi="GHEA Grapalat"/>
          <w:sz w:val="20"/>
          <w:szCs w:val="20"/>
        </w:rPr>
        <w:t>ծագման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երկրին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կոնկրետ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աղբյուրին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արտադրողին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կիրառական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«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համարժեք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A27424">
        <w:rPr>
          <w:rFonts w:ascii="GHEA Grapalat" w:hAnsi="GHEA Grapalat"/>
          <w:sz w:val="20"/>
          <w:szCs w:val="20"/>
        </w:rPr>
        <w:t>արտահայտությունը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3DDB6F0F" w14:textId="3DA37586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A27424">
        <w:rPr>
          <w:rFonts w:ascii="GHEA Grapalat" w:hAnsi="GHEA Grapalat"/>
          <w:sz w:val="20"/>
          <w:szCs w:val="20"/>
        </w:rPr>
        <w:t>***********</w:t>
      </w:r>
      <w:proofErr w:type="spellStart"/>
      <w:r w:rsidRPr="00A27424">
        <w:rPr>
          <w:rFonts w:ascii="GHEA Grapalat" w:hAnsi="GHEA Grapalat"/>
          <w:sz w:val="20"/>
          <w:szCs w:val="20"/>
        </w:rPr>
        <w:t>Ռուսերեն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A27424">
        <w:rPr>
          <w:rFonts w:ascii="GHEA Grapalat" w:hAnsi="GHEA Grapalat"/>
          <w:sz w:val="20"/>
          <w:szCs w:val="20"/>
        </w:rPr>
        <w:t>հայերեն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լեզուներով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A27424">
        <w:rPr>
          <w:rFonts w:ascii="GHEA Grapalat" w:hAnsi="GHEA Grapalat"/>
          <w:sz w:val="20"/>
          <w:szCs w:val="20"/>
        </w:rPr>
        <w:t>հրապարակված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հայտարարության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և (</w:t>
      </w:r>
      <w:proofErr w:type="spellStart"/>
      <w:r w:rsidRPr="00A27424">
        <w:rPr>
          <w:rFonts w:ascii="GHEA Grapalat" w:hAnsi="GHEA Grapalat"/>
          <w:sz w:val="20"/>
          <w:szCs w:val="20"/>
        </w:rPr>
        <w:t>կամ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A27424">
        <w:rPr>
          <w:rFonts w:ascii="GHEA Grapalat" w:hAnsi="GHEA Grapalat"/>
          <w:sz w:val="20"/>
          <w:szCs w:val="20"/>
        </w:rPr>
        <w:t>հրավերի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տեքստերի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տարաբնույթ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A27424">
        <w:rPr>
          <w:rFonts w:ascii="GHEA Grapalat" w:hAnsi="GHEA Grapalat"/>
          <w:sz w:val="20"/>
          <w:szCs w:val="20"/>
        </w:rPr>
        <w:t>երկակի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A27424">
        <w:rPr>
          <w:rFonts w:ascii="GHEA Grapalat" w:hAnsi="GHEA Grapalat"/>
          <w:sz w:val="20"/>
          <w:szCs w:val="20"/>
        </w:rPr>
        <w:t>մեկնաբանման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հնարավորության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դեպքում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հիմք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A27424">
        <w:rPr>
          <w:rFonts w:ascii="GHEA Grapalat" w:hAnsi="GHEA Grapalat"/>
          <w:sz w:val="20"/>
          <w:szCs w:val="20"/>
        </w:rPr>
        <w:t>ընդունվում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հայերեն</w:t>
      </w:r>
      <w:proofErr w:type="spellEnd"/>
      <w:r w:rsidRPr="00A2742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27424">
        <w:rPr>
          <w:rFonts w:ascii="GHEA Grapalat" w:hAnsi="GHEA Grapalat"/>
          <w:sz w:val="20"/>
          <w:szCs w:val="20"/>
        </w:rPr>
        <w:t>տեքստը</w:t>
      </w:r>
      <w:proofErr w:type="spellEnd"/>
      <w:r w:rsidRPr="00A27424">
        <w:rPr>
          <w:rFonts w:ascii="GHEA Grapalat" w:hAnsi="GHEA Grapalat"/>
          <w:sz w:val="20"/>
          <w:szCs w:val="20"/>
        </w:rPr>
        <w:t>:</w:t>
      </w:r>
    </w:p>
    <w:p w14:paraId="7D6929AF" w14:textId="77777777" w:rsidR="008E0FA2" w:rsidRPr="008E0FA2" w:rsidRDefault="008E0FA2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5C3C968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126"/>
        <w:gridCol w:w="7793"/>
        <w:gridCol w:w="698"/>
        <w:gridCol w:w="823"/>
      </w:tblGrid>
      <w:tr w:rsidR="00E62283" w:rsidRPr="00A27424" w14:paraId="5E719A08" w14:textId="77777777" w:rsidTr="00A27424">
        <w:tc>
          <w:tcPr>
            <w:tcW w:w="704" w:type="dxa"/>
            <w:vAlign w:val="center"/>
          </w:tcPr>
          <w:p w14:paraId="741C03EB" w14:textId="5CEF5F90" w:rsidR="00E62283" w:rsidRPr="00A27424" w:rsidRDefault="00E62283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418" w:type="dxa"/>
            <w:vAlign w:val="center"/>
          </w:tcPr>
          <w:p w14:paraId="71CF4EDF" w14:textId="580556CD" w:rsidR="00E62283" w:rsidRPr="00A27424" w:rsidRDefault="00E62283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A27424">
              <w:rPr>
                <w:rFonts w:ascii="GHEA Grapalat" w:hAnsi="GHEA Grapalat"/>
                <w:sz w:val="18"/>
                <w:szCs w:val="18"/>
              </w:rPr>
              <w:t>CPV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vAlign w:val="center"/>
          </w:tcPr>
          <w:p w14:paraId="3911AEA2" w14:textId="4F81AA4E" w:rsidR="00E62283" w:rsidRPr="00A27424" w:rsidRDefault="00E62283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793" w:type="dxa"/>
            <w:vAlign w:val="center"/>
          </w:tcPr>
          <w:p w14:paraId="76654CCC" w14:textId="7BE3221E" w:rsidR="00E62283" w:rsidRPr="00A27424" w:rsidRDefault="00E62283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98" w:type="dxa"/>
            <w:vAlign w:val="center"/>
          </w:tcPr>
          <w:p w14:paraId="2740270C" w14:textId="51F3E830" w:rsidR="00E62283" w:rsidRPr="00A27424" w:rsidRDefault="00E62283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823" w:type="dxa"/>
            <w:vAlign w:val="center"/>
          </w:tcPr>
          <w:p w14:paraId="6326B16D" w14:textId="74353FEA" w:rsidR="00E62283" w:rsidRPr="00A27424" w:rsidRDefault="00E62283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A27424" w:rsidRPr="00A27424" w14:paraId="1E2E3639" w14:textId="77777777" w:rsidTr="00A27424">
        <w:tc>
          <w:tcPr>
            <w:tcW w:w="704" w:type="dxa"/>
            <w:vAlign w:val="center"/>
          </w:tcPr>
          <w:p w14:paraId="1B22136D" w14:textId="124E2589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54FF061" w14:textId="092C4E2C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sz w:val="18"/>
                <w:szCs w:val="18"/>
                <w:lang w:val="hy-AM"/>
              </w:rPr>
              <w:t>33161120/66</w:t>
            </w:r>
          </w:p>
        </w:tc>
        <w:tc>
          <w:tcPr>
            <w:tcW w:w="2126" w:type="dxa"/>
            <w:vAlign w:val="center"/>
          </w:tcPr>
          <w:p w14:paraId="66C55A0E" w14:textId="23742695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Нейрохирургический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инструмент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конической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формы</w:t>
            </w:r>
            <w:proofErr w:type="spellEnd"/>
          </w:p>
        </w:tc>
        <w:tc>
          <w:tcPr>
            <w:tcW w:w="7793" w:type="dxa"/>
            <w:vAlign w:val="center"/>
          </w:tcPr>
          <w:p w14:paraId="3C1CBA5B" w14:textId="39F8EB1C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Хирургический инструмент для хирургической системы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Medtronic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Midas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Rex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Legend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System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имеющейся в университетской больнице. Обязательно совместимый, конический, стерильный, одноразовый нейрохирургический инструмент длиной 8 см и диаметром 1,5 мм. Оригинал. Формат: штука. Наличие сертификатов качества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CE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MARK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обязательно. Новый, неиспользованный, в заводской стерильной упаковке. Включает технические характеристики, особенности и правила использования в виде заводского руководства. На момент поставки должно быть в наличии не менее 50% от общего срока годности.</w:t>
            </w:r>
          </w:p>
        </w:tc>
        <w:tc>
          <w:tcPr>
            <w:tcW w:w="698" w:type="dxa"/>
            <w:vAlign w:val="center"/>
          </w:tcPr>
          <w:p w14:paraId="352604C9" w14:textId="2C6EF010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E9250B0" w14:textId="7C5F9988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</w:tr>
      <w:tr w:rsidR="00A27424" w:rsidRPr="00A27424" w14:paraId="244F9992" w14:textId="77777777" w:rsidTr="00A27424">
        <w:tc>
          <w:tcPr>
            <w:tcW w:w="704" w:type="dxa"/>
            <w:vAlign w:val="center"/>
          </w:tcPr>
          <w:p w14:paraId="66040DE4" w14:textId="32170992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495D7E4" w14:textId="03BFB1F3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33161120/67</w:t>
            </w:r>
          </w:p>
        </w:tc>
        <w:tc>
          <w:tcPr>
            <w:tcW w:w="2126" w:type="dxa"/>
            <w:vAlign w:val="center"/>
          </w:tcPr>
          <w:p w14:paraId="43882D87" w14:textId="1D6067DE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Нейрохирургический инструмент конической - спиральный формы /1</w:t>
            </w:r>
          </w:p>
        </w:tc>
        <w:tc>
          <w:tcPr>
            <w:tcW w:w="7793" w:type="dxa"/>
            <w:vAlign w:val="center"/>
          </w:tcPr>
          <w:p w14:paraId="5A477CDE" w14:textId="167D6932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Хирургический инструмент для хирургической системы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Medtronic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Midas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Rex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Legend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System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имеющейся в университетской больнице. Обязательно совместимый, конический — спиральный, стерильный, одноразовый нейрохирургический инструмент длиной 8 см и диаметром 1,5 мм. Оригинал. Формат: штука. Наличие сертификатов качества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CE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MARK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обязательно. Новый, неиспользованный, в заводской стерильной упаковке. Включает технические характеристики, особенности и правила использования в виде заводского руководства. На момент поставки должно быть в наличии не менее 50% от общего срока годности.</w:t>
            </w:r>
          </w:p>
        </w:tc>
        <w:tc>
          <w:tcPr>
            <w:tcW w:w="698" w:type="dxa"/>
            <w:vAlign w:val="center"/>
          </w:tcPr>
          <w:p w14:paraId="038E2EEA" w14:textId="66E339A2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0AA6775" w14:textId="7A91F1BC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27424" w:rsidRPr="00A27424" w14:paraId="77122EA4" w14:textId="77777777" w:rsidTr="00A27424">
        <w:tc>
          <w:tcPr>
            <w:tcW w:w="704" w:type="dxa"/>
            <w:vAlign w:val="center"/>
          </w:tcPr>
          <w:p w14:paraId="2ACC5609" w14:textId="20482832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7C0D58D4" w14:textId="6C1A6116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33161120/68</w:t>
            </w:r>
          </w:p>
        </w:tc>
        <w:tc>
          <w:tcPr>
            <w:tcW w:w="2126" w:type="dxa"/>
            <w:vAlign w:val="center"/>
          </w:tcPr>
          <w:p w14:paraId="2715BABF" w14:textId="643969D2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Нейрохирургический инструмент конической - спиральный формы /2</w:t>
            </w:r>
          </w:p>
        </w:tc>
        <w:tc>
          <w:tcPr>
            <w:tcW w:w="7793" w:type="dxa"/>
            <w:vAlign w:val="center"/>
          </w:tcPr>
          <w:p w14:paraId="07AA0370" w14:textId="099D8225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Хирургический инструмент для хирургической системы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Medtronic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Midas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Rex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Legend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System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имеющейся в университетской больнице. Обязательно совместимый, конический — спиральный, стерильный, одноразовый нейрохирургический инструмент длиной 8 см и диаметром 2,3 мм. Оригинал. Формат: штука. Наличие сертификатов качества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CE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MARK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обязательно. Новый, неиспользованный, в заводской стерильной упаковке. Включает технические характеристики, особенности и правила использования в виде заводского руководства. На момент поставки должно быть в наличии не менее 50% от общего срока годности.</w:t>
            </w:r>
          </w:p>
        </w:tc>
        <w:tc>
          <w:tcPr>
            <w:tcW w:w="698" w:type="dxa"/>
            <w:vAlign w:val="center"/>
          </w:tcPr>
          <w:p w14:paraId="20528F32" w14:textId="3626D937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A4C2AC9" w14:textId="4BF3B8E6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27424" w:rsidRPr="00A27424" w14:paraId="29652085" w14:textId="77777777" w:rsidTr="00A27424">
        <w:tc>
          <w:tcPr>
            <w:tcW w:w="704" w:type="dxa"/>
            <w:vAlign w:val="center"/>
          </w:tcPr>
          <w:p w14:paraId="48FBB061" w14:textId="4E47B62A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14:paraId="7AAA649B" w14:textId="4B0B7078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33181180/1</w:t>
            </w:r>
          </w:p>
        </w:tc>
        <w:tc>
          <w:tcPr>
            <w:tcW w:w="2126" w:type="dxa"/>
            <w:vAlign w:val="center"/>
          </w:tcPr>
          <w:p w14:paraId="75E299AC" w14:textId="7C7840B5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Пейсмейкер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</w:rPr>
              <w:t>двухполостной</w:t>
            </w:r>
            <w:proofErr w:type="spellEnd"/>
          </w:p>
        </w:tc>
        <w:tc>
          <w:tcPr>
            <w:tcW w:w="7793" w:type="dxa"/>
            <w:vAlign w:val="center"/>
          </w:tcPr>
          <w:p w14:paraId="410F5E59" w14:textId="4101289C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Двухполостной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кардиостимулятор, разработанный и обязательно совместимый с программатором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Medtronic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доступным и эксплуатируемым Фондом ЕРМИ.  Оригинал.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Двухполостный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кардиостимулятор с принадлежностями, совместимость с МРТ. Размеры: не более 45мм х 48мм х 8,0мм, вес не более 27,5г; объем не более 12,5 см3, тип батареи: литий-йод. Напряжение: 2,8 В. Тип разъема:IS-1 BI/UNI.</w:t>
            </w:r>
          </w:p>
          <w:p w14:paraId="05A34697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Срок службы не менее 11 лет (в режиме DDDR 60 r/r, стимуляция 100%, желудочковая: 2,0 В, предсердная: 1,5 В, длительность импульса: 0,4 мс, режим импеданса 1000); Постоянный автоматический контроль порогов стимуляции в обеих камерах, функция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Controllable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Ventrcular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Pacing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(CPS) обеспечивает наличие функции поиска AV-задержки, это программируемая функция, предназначенная для определения времени спонтанной AV-проводимости пациента и изменения интервалов ДАВ и САВ, обеспечение спонтанной активации желудочков и отслеживание быстрых сокращений предсердий. Наличие функции автоматического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поствентрикулярного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постатриального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интервала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рефрактерности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(PTRI) предварительно защищает от тахикардии, вызванной кардиостимулятором, и обеспечивает соотношение частоты блокад 2: 1 на основе средней частоты предсердий. Эта функция улучшает защиту от тахикардии, вызванной стимулятором, за счет удлинения AHR на более низких частотах синхронизации, обеспечения соотношения частот блокады 2:1 и сокращения AHR на более высоких частотах и 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​​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DAV (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необходимости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14:paraId="63D7C28E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Режимы повышения: </w:t>
            </w:r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AAIR&lt;=&gt;DDDR</w:t>
            </w:r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DDDR, </w:t>
            </w:r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AAI&lt;=&gt;DDD</w:t>
            </w:r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DDD, DDIR, DDI, DVIR, DVI, DOOR, DOO, VDD, VVIR, VDIR, VVI, VDI, VVT, VOOR, VOO, AAIR, </w:t>
            </w:r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ADIR ,</w:t>
            </w:r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ААИ, АДИ, ААТ, АООР, АОО, ОДО, ОВО, ОАО. В комплект входят два электрода и два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интродьюсера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 В зависимости от специфики операции электроды могут быть пассивной или активной фиксации.</w:t>
            </w:r>
          </w:p>
          <w:p w14:paraId="674FA829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Гарантия и обслуживание кардиостимулятора предоставляется пациенту в течение не менее 11 лет после его имплантации.</w:t>
            </w:r>
          </w:p>
          <w:p w14:paraId="75F32048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Поставщик обязан на этапе исполнения контракта представить документальное подтверждение того, что при появлении любого из нижеуказанных пунктов он может обеспечить реализацию данного пункта и выполнить за свой счет следующие функции, при этом Заказчик имеет право самостоятельно проверить достоверность предоставленной информации у производителя.</w:t>
            </w:r>
          </w:p>
          <w:p w14:paraId="0B2A5FDF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A27424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․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случае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выявления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каждого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дефектного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изделия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или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нарушения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режима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работы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передать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Производителю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предоставленную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информацию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получить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разъяснение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производителя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данному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случаю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представить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Заказчику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Производитель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также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обязуется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провести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онлайн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диагностику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Все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это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будет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сделано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чем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через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11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лет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после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того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как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аппарат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будет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имплантирован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пациенту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73ACAF45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Pr="00A27424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․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случае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обнаружения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производственного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брака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Поставщик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обязан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заменить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дефектное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изделие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новое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течение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11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лет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после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имплантации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изделия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пациенту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42CCF249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Pr="00A27424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․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случае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отзыва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производителем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какой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либо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партии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продукции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поставляемой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Заказчику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передать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данную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информацию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Заказчику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заменить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отозванную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продукцию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новой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4B77BD0D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Сертификат качества CE MARK или FDA является обязательным для любой поставляемой партии. Новый, неиспользованный, в стерильной заводской упаковке. Включает технические характеристики, характеристики и инструкции по использованию в виде заводского руководства. Наличие не менее 50% от полного срока годности на момент поставки.</w:t>
            </w:r>
          </w:p>
          <w:p w14:paraId="112E55FF" w14:textId="4AD3F8EB" w:rsidR="00A27424" w:rsidRPr="0008499B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Вместе с заявкой участник представляет доверенность (гарантийное письмо-доверенность), предъявляемую производителем продукции, а на этапе оформления договора - сертификат соответствия и сертификат происхождения, предъявляемые производителем продукции. Условия гарантии не распространяются на случаи повреждения устройства из-за нарушения врачом правил имплантации.</w:t>
            </w:r>
          </w:p>
        </w:tc>
        <w:tc>
          <w:tcPr>
            <w:tcW w:w="698" w:type="dxa"/>
            <w:vAlign w:val="center"/>
          </w:tcPr>
          <w:p w14:paraId="39A5CA84" w14:textId="0B67D2E6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56EA3E" w14:textId="60093648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</w:tr>
      <w:tr w:rsidR="00A27424" w:rsidRPr="00A27424" w14:paraId="7379E0CB" w14:textId="77777777" w:rsidTr="00A27424">
        <w:tc>
          <w:tcPr>
            <w:tcW w:w="704" w:type="dxa"/>
            <w:vAlign w:val="center"/>
          </w:tcPr>
          <w:p w14:paraId="488BA431" w14:textId="1900D3F1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026C411" w14:textId="10E67F9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33181180/2</w:t>
            </w:r>
          </w:p>
        </w:tc>
        <w:tc>
          <w:tcPr>
            <w:tcW w:w="2126" w:type="dxa"/>
            <w:vAlign w:val="center"/>
          </w:tcPr>
          <w:p w14:paraId="5A3C98F7" w14:textId="6884B808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Двухполостной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кардиостимулятор-дефибриллятор</w:t>
            </w:r>
          </w:p>
        </w:tc>
        <w:tc>
          <w:tcPr>
            <w:tcW w:w="7793" w:type="dxa"/>
            <w:vAlign w:val="center"/>
          </w:tcPr>
          <w:p w14:paraId="482EACEC" w14:textId="64C06A23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Двухполостной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кардиостимулятор-дефибриллятор, разработанный и обязательно совместимый с программатором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Medtronic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доступным и эксплуатируемым Фондом ЕРМИ. Оригинал. Имплантируемый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двухполостный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кардиовертер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-дефибриллятор, совместимый с МРТ, представляет собой многопрограммное кардиологическое оборудование, осуществляющее мониторинг сердечного ритма пациента за счет частотно-адаптивной стимуляции одно- или двухкамерной брадикардии; лечение желудочковых и предсердных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тахиаритмий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 Совместимость с МРТ – 1,5 Т и 3 Т, без ограничения зон сканирования (в том числе области сердца), без ограничения роста пациента, без ограничения продолжительности проведения МРТ-сканирования, при условии имплантации МРТ-совместимых электродов, а также соблюдения Условия, требуемые производителем исследования:</w:t>
            </w:r>
          </w:p>
          <w:p w14:paraId="41ACAACF" w14:textId="40161D25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Тип разъемов: ИС-1, DF4/DF1, вес: не более 80 г.; объем: не более 35 см3; Размеры: не более 70мм х 53мм х 15мм. Срок службы не менее 9 лет (с учетом полугодовых разрядов максимальной мощности, режим стимуляции: </w:t>
            </w:r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ААИ&lt;=&gt;ДДД</w:t>
            </w:r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с 50% стимуляцией правого предсердия, амплитуда 2,5 В, сопротивление 600 Ом, ежеквартальная передача данных через пульт дистанционного управления).</w:t>
            </w:r>
          </w:p>
          <w:p w14:paraId="18218F35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Материалы, контактирующие с тканями человека: титан, полиуретан, силиконовая резина.</w:t>
            </w:r>
          </w:p>
          <w:p w14:paraId="5A7FAD15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Рентгеноконтрастный идентификатор: ПФЗ Форма тела: Физиологическое очертание.</w:t>
            </w:r>
          </w:p>
          <w:p w14:paraId="6F1FEDBF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гибридная литий-серебряно-ванадиевая батарея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CFx</w:t>
            </w:r>
            <w:proofErr w:type="spellEnd"/>
          </w:p>
          <w:p w14:paraId="36F0A08A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Максимальная подаваемая энергия: 36Дж.</w:t>
            </w:r>
          </w:p>
          <w:p w14:paraId="484B9431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Максимальная накопленная энергия: 42Дж.</w:t>
            </w:r>
          </w:p>
          <w:p w14:paraId="1680EF46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Стандартное время зарядки в начале работы: не более 9 секунд.</w:t>
            </w:r>
          </w:p>
          <w:p w14:paraId="6B68113E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Стандартное время рекомендации (RRT) составляет не более 13 секунд.</w:t>
            </w:r>
          </w:p>
          <w:p w14:paraId="126A55F0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Увеличенный срок службы батареи (PSP) — это время между RRT (рекомендуемым временем замены) и EOS (окончание срока службы). Продолжительность ПСП устанавливается на 3 месяца при условии выполнения следующих условий: 100% стимуляция ДДД в течение 60 мин. -1 частота, амплитуда стимуляции предсердий и правого желудочка: 2,5 В, длительность импульса: 0,4 мс; нагрузка стимуляции составляет 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600 Ом, а также 6 полных зарядов. Если устройство превысит указанные условия, уведомление об EOS может появиться до окончания трехмесячного периода.</w:t>
            </w:r>
          </w:p>
          <w:p w14:paraId="146F8692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Наличие функций: Автоматическое переключение между режимами стимуляции (AAI(R) &lt;-&gt; DDD(R)); Автоматическая регулировка чувствительности; Адаптация частоты стимуляции в ответ на физическую активность;  Адаптация AV-интервала к ВЧ; Ауто-PVARP (предсердный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постжелудочковый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рефрактерный период) с адаптацией к СН или частоте стимуляции для предотвращения тахикардии, индуцированной кардиостимулятором; Неконкурентная предсердная стимуляция (NCAP) после предсердной экстрасистолии; Вмешательство при тахикардии, вызванной кардиостимулятором; В ответ на желудочковую экстрасистолию (ЖЭ); Профилактическая желудочковая стимуляция (PVC) при перекрестных расстройствах; смена режимов работы с DDDR на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неотслеживаемый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режим DDI при наличии предсердной тахиаритмии предотвращает быструю стимуляцию желудочков при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наджелудочковой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тахикардии; Реакция желудочков на фибрилляцию предсердий способствует поддержанию регулярной частоты желудочковых сокращений во время эпизодов фибрилляции предсердий; Стабилизация частоты предсердий после предсердной экстрасистолии; Предпочтительная стимуляция предсердий (APP) для предотвращения предсердных аритмий и ФП; желудочковая частота (VRS) после желудочковой экстрасистолии.</w:t>
            </w:r>
          </w:p>
          <w:p w14:paraId="158A533A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Оснащен эксклюзивным режимом желудочковой стимуляции (MVP), ATP. Может обнаружить ЖТ/ФЖ. Тип батареи: оксид лития-серебра-</w:t>
            </w:r>
            <w:proofErr w:type="spellStart"/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ванадия.Энергия</w:t>
            </w:r>
            <w:proofErr w:type="spellEnd"/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дефибрилляции и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кардиоверсии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0,4-35 Дж. Режимы повышения: DDDR и DDD, DDIR и DDI, DOOVVIR и </w:t>
            </w:r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VVI,VOO</w:t>
            </w:r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AAIR и </w:t>
            </w:r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AAI,AOO</w:t>
            </w:r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MVP,ODO</w:t>
            </w:r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В комплект также входят два электрода и два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интродьюсера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; В зависимости от специфики операции электроды могут быть пассивной или активной фиксации.</w:t>
            </w:r>
          </w:p>
          <w:p w14:paraId="76A796C8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Техническое и гарантийное обслуживание кардиостимулятора-дефибриллятора в течение не менее 9 лет после имплантации пациенту.</w:t>
            </w:r>
          </w:p>
          <w:p w14:paraId="16507823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Поставщик обязан на этапе исполнения контракта представить документальное подтверждение того, что в случае наступления любого из нижеуказанных пунктов он сможет обеспечить реализацию данного пункта и осуществить на своем месте следующие мероприятия: за свой счет, при этом Клиент имеет право сам проверить достоверность предоставленной информации у производителя.</w:t>
            </w:r>
          </w:p>
          <w:p w14:paraId="281D8566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В случае повреждения каждого изделия или нарушения режима работы передать информацию, предоставленную Заказчиком Производителю, получить объяснение производителя на этот случай и представить его Заказчику. Производитель также обязуется провести онлайн-диагностику. Все это будет сделано не менее чем через 9 лет после имплантации аппарата пациенту.</w:t>
            </w:r>
          </w:p>
          <w:p w14:paraId="0F9353C1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2В случае производственного брака Поставщик обязан заменить бракованное изделие на новое не менее чем через 9 лет после имплантации изделия пациенту.</w:t>
            </w:r>
          </w:p>
          <w:p w14:paraId="2200C159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3. В случае отзыва производителем какой-либо партии продукции (поставляемой Заказчику) передать данную информацию Заказчику и заменить отозванную продукцию новой.</w:t>
            </w:r>
          </w:p>
          <w:p w14:paraId="12062995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Сертификат качества CE MARK или FDA является обязательным для любой поставляемой партии. Новый, неиспользованный, в стерильной заводской упаковке. Включает технические характеристики, характеристики и инструкции по использованию в виде заводского руководства. Наличие не менее 50% от полного срока годности на момент поставки.</w:t>
            </w:r>
          </w:p>
          <w:p w14:paraId="11760017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Вместе с заявкой участник представляет доверенность (гарантийное письмо-доверенность), предъявляемую производителем продукции, а на этапе оформления договора - сертификат соответствия и сертификат происхождения, предъявляемые производителем продукции.</w:t>
            </w:r>
          </w:p>
          <w:p w14:paraId="61C51EEF" w14:textId="0FAFC25F" w:rsidR="00A27424" w:rsidRPr="0008499B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Условия гарантии не распространяются на случаи повреждения устройства из-за нарушения врачом правил имплантации.</w:t>
            </w:r>
          </w:p>
        </w:tc>
        <w:tc>
          <w:tcPr>
            <w:tcW w:w="698" w:type="dxa"/>
            <w:vAlign w:val="center"/>
          </w:tcPr>
          <w:p w14:paraId="6240A38B" w14:textId="291272B6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4CEFAD6" w14:textId="5C74431E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</w:tr>
      <w:tr w:rsidR="00A27424" w:rsidRPr="00A27424" w14:paraId="0BD96FF0" w14:textId="77777777" w:rsidTr="00A27424">
        <w:tc>
          <w:tcPr>
            <w:tcW w:w="704" w:type="dxa"/>
            <w:vAlign w:val="center"/>
          </w:tcPr>
          <w:p w14:paraId="0295C897" w14:textId="6A5136AA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8" w:type="dxa"/>
            <w:vAlign w:val="center"/>
          </w:tcPr>
          <w:p w14:paraId="473CF789" w14:textId="75B98F15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33621772/1</w:t>
            </w:r>
          </w:p>
        </w:tc>
        <w:tc>
          <w:tcPr>
            <w:tcW w:w="2126" w:type="dxa"/>
            <w:vAlign w:val="center"/>
          </w:tcPr>
          <w:p w14:paraId="08F122D5" w14:textId="559E86FB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Добутамин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250мг</w:t>
            </w:r>
          </w:p>
        </w:tc>
        <w:tc>
          <w:tcPr>
            <w:tcW w:w="7793" w:type="dxa"/>
            <w:vAlign w:val="center"/>
          </w:tcPr>
          <w:p w14:paraId="25D20A9D" w14:textId="3DAD2639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Добутамин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Dobutamine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лиофилизированный порошок для приготовления раствора для инфузий, 250 мг, стеклянный флакон. Новый, неиспользованный, в заводской упаковке. На момент поставки срок годности препарата должен быть следующим: для лекарств со сроком годности 2,5 года и более — остаточный срок годности не менее 24 месяцев; для лекарств со сроком годности до 2,5 лет — остаточный срок годности не менее 12 месяцев.</w:t>
            </w:r>
          </w:p>
        </w:tc>
        <w:tc>
          <w:tcPr>
            <w:tcW w:w="698" w:type="dxa"/>
            <w:vAlign w:val="center"/>
          </w:tcPr>
          <w:p w14:paraId="05EDFC96" w14:textId="43C76996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5FFA7EA" w14:textId="733FC35E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A27424" w:rsidRPr="00A27424" w14:paraId="0C621D4D" w14:textId="77777777" w:rsidTr="00A27424">
        <w:tc>
          <w:tcPr>
            <w:tcW w:w="704" w:type="dxa"/>
            <w:vAlign w:val="center"/>
          </w:tcPr>
          <w:p w14:paraId="77656113" w14:textId="39F74BE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14:paraId="074A12F6" w14:textId="6AB3008D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33691176/53</w:t>
            </w:r>
          </w:p>
        </w:tc>
        <w:tc>
          <w:tcPr>
            <w:tcW w:w="2126" w:type="dxa"/>
            <w:vAlign w:val="center"/>
          </w:tcPr>
          <w:p w14:paraId="3FC620FD" w14:textId="36A026C9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Аденозин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6мг/2мл, 2мл</w:t>
            </w:r>
          </w:p>
        </w:tc>
        <w:tc>
          <w:tcPr>
            <w:tcW w:w="7793" w:type="dxa"/>
            <w:vAlign w:val="center"/>
          </w:tcPr>
          <w:p w14:paraId="2EEC578A" w14:textId="38FCAAD6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Аденозин (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adenosine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раствор для инъекций 3 мг/мл, 2 мл ампула. Новый, неиспользованный, в заводской упаковке. На момент поставки срок годности препарата должен быть следующим: для лекарств со сроком годности 2,5 года и более — остаточный срок годности не менее 24 месяцев; для лекарств со сроком годности до 2,5 лет — остаточный срок годности не менее 12 месяцев.</w:t>
            </w:r>
          </w:p>
        </w:tc>
        <w:tc>
          <w:tcPr>
            <w:tcW w:w="698" w:type="dxa"/>
            <w:vAlign w:val="center"/>
          </w:tcPr>
          <w:p w14:paraId="3BE70381" w14:textId="542A858B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7E3273" w14:textId="7036D572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A27424" w:rsidRPr="00A27424" w14:paraId="152CE8E3" w14:textId="77777777" w:rsidTr="00A27424">
        <w:tc>
          <w:tcPr>
            <w:tcW w:w="704" w:type="dxa"/>
            <w:vAlign w:val="center"/>
          </w:tcPr>
          <w:p w14:paraId="3D360B30" w14:textId="6327EC3E" w:rsidR="00A27424" w:rsidRPr="00A27424" w:rsidRDefault="00A27424" w:rsidP="00A2742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418" w:type="dxa"/>
            <w:vAlign w:val="center"/>
          </w:tcPr>
          <w:p w14:paraId="5D57FBBD" w14:textId="70291F06" w:rsidR="00A27424" w:rsidRPr="00A27424" w:rsidRDefault="00A27424" w:rsidP="00A2742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33651111/1</w:t>
            </w:r>
          </w:p>
        </w:tc>
        <w:tc>
          <w:tcPr>
            <w:tcW w:w="2126" w:type="dxa"/>
            <w:vAlign w:val="center"/>
          </w:tcPr>
          <w:p w14:paraId="1361708F" w14:textId="5032A7F6" w:rsidR="00A27424" w:rsidRPr="00A27424" w:rsidRDefault="00A27424" w:rsidP="00A2742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Амоксициллин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250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мг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/5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100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7793" w:type="dxa"/>
            <w:vAlign w:val="center"/>
          </w:tcPr>
          <w:p w14:paraId="1C27CAD5" w14:textId="42626880" w:rsidR="00A27424" w:rsidRPr="00A27424" w:rsidRDefault="00A27424" w:rsidP="00A2742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Амоксициллин** (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amoxicillin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порошок для приготовления суспензии для приема внутрь 250 мг/5 мл, 100 мл, стеклянный флакон. Новый, неиспользованный, в заводской упаковке. На момент поставки срок годности препарата должен быть следующим: для лекарств со сроком годности 2,5 года и более — остаточный срок годности не менее 24 месяцев; для лекарств со сроком годности до 2,5 лет — остаточный срок годности не менее 12 месяцев.</w:t>
            </w:r>
          </w:p>
        </w:tc>
        <w:tc>
          <w:tcPr>
            <w:tcW w:w="698" w:type="dxa"/>
            <w:vAlign w:val="center"/>
          </w:tcPr>
          <w:p w14:paraId="3D9D1FA7" w14:textId="7E520E78" w:rsidR="00A27424" w:rsidRPr="00A27424" w:rsidRDefault="00A27424" w:rsidP="00A2742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FD40E14" w14:textId="02A770A0" w:rsidR="00A27424" w:rsidRPr="00A27424" w:rsidRDefault="00A27424" w:rsidP="00A2742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A27424" w:rsidRPr="00A27424" w14:paraId="2DCB73C3" w14:textId="77777777" w:rsidTr="00A27424">
        <w:tc>
          <w:tcPr>
            <w:tcW w:w="704" w:type="dxa"/>
            <w:vAlign w:val="center"/>
          </w:tcPr>
          <w:p w14:paraId="4B28886B" w14:textId="0D92D818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14:paraId="6D06446A" w14:textId="74982868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33651112/2</w:t>
            </w:r>
          </w:p>
        </w:tc>
        <w:tc>
          <w:tcPr>
            <w:tcW w:w="2126" w:type="dxa"/>
            <w:vAlign w:val="center"/>
          </w:tcPr>
          <w:p w14:paraId="247B84A8" w14:textId="544FD210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Амоксициллин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+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клавулановая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кислота</w:t>
            </w:r>
            <w:proofErr w:type="spellEnd"/>
          </w:p>
        </w:tc>
        <w:tc>
          <w:tcPr>
            <w:tcW w:w="7793" w:type="dxa"/>
            <w:vAlign w:val="center"/>
          </w:tcPr>
          <w:p w14:paraId="319CD51C" w14:textId="153A884E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Амоксициллин +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клавулановая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кислота (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amoxicillin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clavulanic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acid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таблетки 500 мг + 125 мг. Новые, неиспользованные, в заводской упаковке. На момент поставки срок годности препарата должен быть следующим: для лекарств со сроком годности 2,5 года и более — остаточный срок годности не менее 24 месяцев; для лекарств со сроком годности до 2,5 лет — остаточный срок годности не менее 12 месяцев.</w:t>
            </w:r>
          </w:p>
        </w:tc>
        <w:tc>
          <w:tcPr>
            <w:tcW w:w="698" w:type="dxa"/>
            <w:vAlign w:val="center"/>
          </w:tcPr>
          <w:p w14:paraId="68A84FDD" w14:textId="2D01FDCB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C0CB012" w14:textId="6C98677D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A27424" w:rsidRPr="00A27424" w14:paraId="337FA444" w14:textId="77777777" w:rsidTr="00A27424">
        <w:tc>
          <w:tcPr>
            <w:tcW w:w="704" w:type="dxa"/>
            <w:vAlign w:val="center"/>
          </w:tcPr>
          <w:p w14:paraId="055DC35A" w14:textId="641998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14:paraId="791C122F" w14:textId="0C53081C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33651320/1</w:t>
            </w:r>
          </w:p>
        </w:tc>
        <w:tc>
          <w:tcPr>
            <w:tcW w:w="2126" w:type="dxa"/>
            <w:vAlign w:val="center"/>
          </w:tcPr>
          <w:p w14:paraId="44F281A5" w14:textId="018BDFAC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Цефепим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+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сульбактам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1000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мг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+ 1000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мг</w:t>
            </w:r>
            <w:proofErr w:type="spellEnd"/>
          </w:p>
        </w:tc>
        <w:tc>
          <w:tcPr>
            <w:tcW w:w="7793" w:type="dxa"/>
            <w:vAlign w:val="center"/>
          </w:tcPr>
          <w:p w14:paraId="2664786D" w14:textId="6E1079F6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Цефепим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+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сульбактам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cefepime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+ 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sulbactam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порошок для приготовления раствора для инъекций 1000 мг + 1000 мг, стеклянный флакон. Новый, неиспользованный, в заводской упаковке. На момент поставки срок годности препарата должен быть следующим: для лекарств со сроком годности 2,5 года и более — остаточный срок годности не менее 24 месяцев; для лекарств со сроком годности до 2,5 лет — остаточный срок годности не менее 12 месяцев.</w:t>
            </w:r>
          </w:p>
        </w:tc>
        <w:tc>
          <w:tcPr>
            <w:tcW w:w="698" w:type="dxa"/>
            <w:vAlign w:val="center"/>
          </w:tcPr>
          <w:p w14:paraId="776CAD22" w14:textId="40721350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F3AF2C1" w14:textId="2DC71D8D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A27424" w:rsidRPr="00A27424" w14:paraId="39F2FC88" w14:textId="77777777" w:rsidTr="00A27424">
        <w:tc>
          <w:tcPr>
            <w:tcW w:w="704" w:type="dxa"/>
            <w:vAlign w:val="center"/>
          </w:tcPr>
          <w:p w14:paraId="4FB854F4" w14:textId="01F0AE96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1418" w:type="dxa"/>
            <w:vAlign w:val="center"/>
          </w:tcPr>
          <w:p w14:paraId="6D9FF213" w14:textId="686AC40E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33651150/1</w:t>
            </w:r>
          </w:p>
        </w:tc>
        <w:tc>
          <w:tcPr>
            <w:tcW w:w="2126" w:type="dxa"/>
            <w:vAlign w:val="center"/>
          </w:tcPr>
          <w:p w14:paraId="2C16B026" w14:textId="0923C038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Флуконазол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150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мг</w:t>
            </w:r>
            <w:proofErr w:type="spellEnd"/>
          </w:p>
        </w:tc>
        <w:tc>
          <w:tcPr>
            <w:tcW w:w="7793" w:type="dxa"/>
            <w:vAlign w:val="center"/>
          </w:tcPr>
          <w:p w14:paraId="7D707559" w14:textId="3B91C7EF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Флуконазол (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fluconazole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капсулы 150 мг. Новые, неиспользованные, в заводской упаковке. На момент поставки срок годности препарата должен быть следующим: для лекарств со сроком годности 2,5 года и более — остаточный срок годности не менее 24 месяцев; для лекарств со сроком годности до 2,5 лет — остаточный срок годности не менее 12 месяцев.</w:t>
            </w:r>
          </w:p>
        </w:tc>
        <w:tc>
          <w:tcPr>
            <w:tcW w:w="698" w:type="dxa"/>
            <w:vAlign w:val="center"/>
          </w:tcPr>
          <w:p w14:paraId="5E52C57A" w14:textId="735BB13C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6EB3C3" w14:textId="4AC56D6F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A27424" w:rsidRPr="00A27424" w14:paraId="45FC3798" w14:textId="77777777" w:rsidTr="00A27424">
        <w:tc>
          <w:tcPr>
            <w:tcW w:w="704" w:type="dxa"/>
            <w:vAlign w:val="center"/>
          </w:tcPr>
          <w:p w14:paraId="39CECC31" w14:textId="1BD32C2D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</w:tcPr>
          <w:p w14:paraId="4D7C4506" w14:textId="62F03B8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33671111/1</w:t>
            </w:r>
          </w:p>
        </w:tc>
        <w:tc>
          <w:tcPr>
            <w:tcW w:w="2126" w:type="dxa"/>
            <w:vAlign w:val="center"/>
          </w:tcPr>
          <w:p w14:paraId="3370CD20" w14:textId="62B00060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Будесонид</w:t>
            </w:r>
            <w:proofErr w:type="spellEnd"/>
          </w:p>
        </w:tc>
        <w:tc>
          <w:tcPr>
            <w:tcW w:w="7793" w:type="dxa"/>
            <w:vAlign w:val="center"/>
          </w:tcPr>
          <w:p w14:paraId="097A0538" w14:textId="150B59F0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Будесонид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budesonide</w:t>
            </w: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суспензия для ингаляций 0,25 мг/мл, дозированный контейнер 2 мл. Новый, неиспользованный, в заводской упаковке. На момент поставки срок годности препарата должен быть следующим: для лекарств со сроком годности 2,5 года и более — остаточный срок годности не менее 24 месяцев; для лекарств со сроком годности до 2,5 лет — остаточный срок годности не менее 12 месяцев.</w:t>
            </w:r>
          </w:p>
        </w:tc>
        <w:tc>
          <w:tcPr>
            <w:tcW w:w="698" w:type="dxa"/>
            <w:vAlign w:val="center"/>
          </w:tcPr>
          <w:p w14:paraId="2926D87D" w14:textId="1FAB4E73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24BEE27" w14:textId="1304128B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</w:tr>
      <w:tr w:rsidR="00A27424" w:rsidRPr="00A27424" w14:paraId="2FE8250A" w14:textId="77777777" w:rsidTr="00A27424">
        <w:tc>
          <w:tcPr>
            <w:tcW w:w="704" w:type="dxa"/>
            <w:vAlign w:val="center"/>
          </w:tcPr>
          <w:p w14:paraId="77ED8B7F" w14:textId="5D151F98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center"/>
          </w:tcPr>
          <w:p w14:paraId="6F0D79B3" w14:textId="3528A035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33141211/209</w:t>
            </w:r>
          </w:p>
        </w:tc>
        <w:tc>
          <w:tcPr>
            <w:tcW w:w="2126" w:type="dxa"/>
            <w:vAlign w:val="center"/>
          </w:tcPr>
          <w:p w14:paraId="7302BDE3" w14:textId="6F8617B6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Спейсер</w:t>
            </w:r>
            <w:proofErr w:type="spellEnd"/>
          </w:p>
        </w:tc>
        <w:tc>
          <w:tcPr>
            <w:tcW w:w="7793" w:type="dxa"/>
            <w:vAlign w:val="center"/>
          </w:tcPr>
          <w:p w14:paraId="4B3BA307" w14:textId="0648A4EB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Маска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спейсера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— силиконовая, корпус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спейсера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— из поликарбоната или аналогичного материала, клапаны — силиконовые. Тканевая сумка — 80% (±5%) хлопок, 20% (±3%) полиэстер. Объем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спейсера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— 220 мл (±10 мл). Типы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спейсеров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: для детей 0–2 лет — оранжевый, с маской; для детей 2–6 лет — желтый, с маской; для детей старше 6 лет — розовый, с маской; для детей старше 6 лет — розовый, без маски.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Типы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предоставляются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по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требованию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заказчика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Новый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неиспользованный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Многоразовый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49EA1D3B" w14:textId="09ED4ACD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5704A88" w14:textId="1E482275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A27424" w:rsidRPr="00A27424" w14:paraId="27F25AC6" w14:textId="77777777" w:rsidTr="00A27424">
        <w:tc>
          <w:tcPr>
            <w:tcW w:w="704" w:type="dxa"/>
            <w:vAlign w:val="center"/>
          </w:tcPr>
          <w:p w14:paraId="77E1BE1B" w14:textId="0E55E72E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14:paraId="2A470AF8" w14:textId="7296D5E3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33141211/210</w:t>
            </w:r>
          </w:p>
        </w:tc>
        <w:tc>
          <w:tcPr>
            <w:tcW w:w="2126" w:type="dxa"/>
            <w:vAlign w:val="center"/>
          </w:tcPr>
          <w:p w14:paraId="027C9AFF" w14:textId="2BEB9254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Трубка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спирометра</w:t>
            </w:r>
            <w:proofErr w:type="spellEnd"/>
          </w:p>
        </w:tc>
        <w:tc>
          <w:tcPr>
            <w:tcW w:w="7793" w:type="dxa"/>
            <w:vAlign w:val="center"/>
          </w:tcPr>
          <w:p w14:paraId="0152E662" w14:textId="07597AE2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Трубка для спирометра </w:t>
            </w:r>
            <w:proofErr w:type="spellStart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CareFusin</w:t>
            </w:r>
            <w:proofErr w:type="spellEnd"/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используемого в университетских больницах. Наружный диаметр трубки— 30 мм, внутренний диаметр — 29,7 мм, длина — 70 мм. Новый, неиспользованный. На момент поставки должно быть в наличии не менее 1/2 от общего срока годности.</w:t>
            </w:r>
          </w:p>
        </w:tc>
        <w:tc>
          <w:tcPr>
            <w:tcW w:w="698" w:type="dxa"/>
            <w:vAlign w:val="center"/>
          </w:tcPr>
          <w:p w14:paraId="645CE47D" w14:textId="6F5B56B6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AB68AA9" w14:textId="505EB2AD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120</w:t>
            </w:r>
          </w:p>
        </w:tc>
      </w:tr>
      <w:tr w:rsidR="00A27424" w:rsidRPr="00A27424" w14:paraId="48B2378F" w14:textId="77777777" w:rsidTr="00A27424">
        <w:tc>
          <w:tcPr>
            <w:tcW w:w="704" w:type="dxa"/>
            <w:vAlign w:val="center"/>
          </w:tcPr>
          <w:p w14:paraId="17912E8E" w14:textId="4971A092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</w:tcPr>
          <w:p w14:paraId="37B3C225" w14:textId="1F984DFE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/>
                <w:sz w:val="18"/>
                <w:szCs w:val="18"/>
              </w:rPr>
              <w:t>33191490/5</w:t>
            </w:r>
          </w:p>
        </w:tc>
        <w:tc>
          <w:tcPr>
            <w:tcW w:w="2126" w:type="dxa"/>
            <w:vAlign w:val="center"/>
          </w:tcPr>
          <w:p w14:paraId="062BE700" w14:textId="3F3CB28F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Инжекторный насос</w:t>
            </w:r>
          </w:p>
        </w:tc>
        <w:tc>
          <w:tcPr>
            <w:tcW w:w="7793" w:type="dxa"/>
            <w:vAlign w:val="center"/>
          </w:tcPr>
          <w:p w14:paraId="5BF599BE" w14:textId="0E46757E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Монитор должен быть цветным TFT LCD с диагональю не менее 3.4 дюйма и сенсорным экраном. Разрешение монитора — не менее 800 x 480 пикселей. Яркость монитора должна регулироваться как минимум в 1-10 степенях. На мониторе отображается следующая информация: данные пациента, данные тревог, статус инфузии и статус рабочего состояния системы. Уровень защиты от проникновения — IP33.</w:t>
            </w:r>
          </w:p>
          <w:p w14:paraId="7817FCD7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Уровень точности составляет ±0.5%. Максимальное отклонение скорости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болюсного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потока — ±0.2%.</w:t>
            </w:r>
          </w:p>
          <w:p w14:paraId="4B4BB6BF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Скорости потока для различных шприцев: Для шприца 1 мл: не менее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50.00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2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или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3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150.0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5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300.0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800.0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20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1200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h.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30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1500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50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2350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регулировки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скорости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потока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32AE93EE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Для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99.99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100.0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999.9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2350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Возможность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ручной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автоматической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регулировки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скоростей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болюсного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потока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50.00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2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или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3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150.0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5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300.0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800.0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20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1200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30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lastRenderedPageBreak/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1500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50 мл: не менее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2350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регулировки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скорости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болюса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6E6DE36E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Для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99.99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100.0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999.9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2350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Обнаружение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окклюзии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давлении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150,225,300,375,450,525,600,675,750,825,900,975,1050,1125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mmHg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Отклонение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тревоги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окклюзии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50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mmHg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первом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уровне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±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145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mmHg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других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уровнях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Скорость</w:t>
            </w:r>
            <w:proofErr w:type="spellEnd"/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потока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KVO:</w:t>
            </w:r>
          </w:p>
          <w:p w14:paraId="08BAE83A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Для шприца 1 мл: не менее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5.00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Для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шприцев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другого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размера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5.00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056BB6E4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Диапазон установки времени: не менее 00:00:01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99:59:59.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Объем</w:t>
            </w:r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введения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9999.99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Накопленный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объем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0.00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99999.99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0.01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1053F6B0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Диапазон установки дозировки: не менее 0.001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99999.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Единицы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измерения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нг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кЕ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ЕИ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ммоль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моль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мкал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ккал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мЭкв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Диапазон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скорости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дозирования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0.001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99999.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Единицы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измерения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скорости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дозирования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: X/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мин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, X/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, X/24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, X/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, X/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/24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, X/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мин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, X/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, X/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/24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где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X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может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принимать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следующие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значения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нг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г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кЕ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ЕИ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ммоль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моль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мкал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ккал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мЭкв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002B77B6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Диапазон установки объема: не менее 0.10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9999.99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spell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Библиотека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лекарственных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средств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должна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содержать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данные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5000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лекарствах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30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категориях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иметь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возможность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20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видов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цветовой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настройки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Возможность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сохранения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данных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5000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пациентов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Возможность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блокировки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экрана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1E9C3652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Устройство предназначено для работы со шприцами размером не менее 1 мл, 2 мл, 3 мл, 5 мл, 10 мл, 20 мл, 30 мл, 50 мл и имеет функцию их автоматического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распознавания.Имеет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видимые и слышимые сигналы тревоги. Должен иметь не менее 3 уровней тревоги: высокий, средний, </w:t>
            </w:r>
            <w:proofErr w:type="spellStart"/>
            <w:proofErr w:type="gram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низкий.Имеет</w:t>
            </w:r>
            <w:proofErr w:type="spellEnd"/>
            <w:proofErr w:type="gram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возможности проводной и беспроводной связи, USB, RS232, разъем для вызова медсестры, адаптер постоянного тока.</w:t>
            </w:r>
          </w:p>
          <w:p w14:paraId="69DC99EA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Литий-ионная или никель-металлгидридная батарея емкостью не менее 3050 мАч. Время работы не менее 8 часов при 25 мл/ч и 3 часа при 2350 мл/ч. Питание: 100-240В, 50/60Гц.</w:t>
            </w:r>
          </w:p>
          <w:p w14:paraId="4F09A217" w14:textId="77777777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Размеры (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ДхШхВ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): 270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мм×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170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мм×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80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gramStart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(</w:t>
            </w:r>
            <w:proofErr w:type="gramEnd"/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±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7424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каждой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стороне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Классификация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Class I, Type </w:t>
            </w:r>
            <w:proofErr w:type="spellStart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CF.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Наличие</w:t>
            </w:r>
            <w:proofErr w:type="spellEnd"/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сертификатов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CE Mark, ISO 13485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обязательно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Оборудование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должно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быть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новым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неиспользованным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заводской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упаковке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Гарантийный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момента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поставки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—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 xml:space="preserve"> 12 </w:t>
            </w:r>
            <w:r w:rsidRPr="00A27424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месяцев</w:t>
            </w: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5D49B182" w14:textId="3C546F81" w:rsidR="00A27424" w:rsidRPr="0008499B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27424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необходимый квалифицированный персонал для установки, обучения, технического обслуживания и ремонта оборудования.                                                                                                                                                                              В заявке участник в приложении ""Полное описание предлагаемого товара"" должен также указать модель товара.</w:t>
            </w:r>
          </w:p>
        </w:tc>
        <w:tc>
          <w:tcPr>
            <w:tcW w:w="698" w:type="dxa"/>
            <w:vAlign w:val="center"/>
          </w:tcPr>
          <w:p w14:paraId="6F2B9F24" w14:textId="1E1A85D2" w:rsidR="00A27424" w:rsidRPr="00A27424" w:rsidRDefault="00A27424" w:rsidP="00A2742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A27424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7851CE3" w14:textId="5BF97E52" w:rsidR="00A27424" w:rsidRPr="00A27424" w:rsidRDefault="00A27424" w:rsidP="00A2742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424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3B4786D0" w14:textId="59FD02B5" w:rsidR="00187D7B" w:rsidRDefault="00C310B0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*  Все товары новые, неиспользованные.</w:t>
      </w:r>
    </w:p>
    <w:p w14:paraId="59F3068B" w14:textId="5E2A7D81" w:rsidR="00C310B0" w:rsidRDefault="00C310B0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lastRenderedPageBreak/>
        <w:t>* Поставка товаров лотам  № 1–</w:t>
      </w:r>
      <w:r w:rsidR="00A27424">
        <w:rPr>
          <w:rFonts w:ascii="GHEA Grapalat" w:hAnsi="GHEA Grapalat"/>
          <w:b/>
          <w:bCs/>
          <w:sz w:val="20"/>
          <w:szCs w:val="20"/>
          <w:lang w:val="hy-AM"/>
        </w:rPr>
        <w:t>14</w:t>
      </w: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 xml:space="preserve"> будет осуществляться в 2025 году поэтапно, согласно заявке Заказчика. При этом срок выполнения первого этапа устанавливается в течение 20 календарных дней с дня вступления контракта в силу.</w:t>
      </w:r>
    </w:p>
    <w:p w14:paraId="4AC3103C" w14:textId="1C575814" w:rsidR="00C310B0" w:rsidRDefault="00C310B0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*Поставка товара лотам от 1 -</w:t>
      </w:r>
      <w:r w:rsidR="00A27424">
        <w:rPr>
          <w:rFonts w:ascii="GHEA Grapalat" w:hAnsi="GHEA Grapalat"/>
          <w:b/>
          <w:bCs/>
          <w:sz w:val="20"/>
          <w:szCs w:val="20"/>
          <w:lang w:val="hy-AM"/>
        </w:rPr>
        <w:t xml:space="preserve">14 </w:t>
      </w: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осуществляется на основании поданной Заказчиком заявки. Если в течение срока действия договора Заказчик подал заявку на поставку товара на сумму, меньшую, чем вся партия, то договор расторгается на оставшуюся непоставленную партию товара.</w:t>
      </w:r>
    </w:p>
    <w:p w14:paraId="4F5DA6F8" w14:textId="24113939" w:rsidR="00C310B0" w:rsidRDefault="00C310B0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 xml:space="preserve">*Поставка товара в составе дота № </w:t>
      </w:r>
      <w:r w:rsidR="00A27424">
        <w:rPr>
          <w:rFonts w:ascii="GHEA Grapalat" w:hAnsi="GHEA Grapalat"/>
          <w:b/>
          <w:bCs/>
          <w:sz w:val="20"/>
          <w:szCs w:val="20"/>
          <w:lang w:val="hy-AM"/>
        </w:rPr>
        <w:t>15</w:t>
      </w: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 xml:space="preserve">  осуществляется в течение 60 календарных дней с момента подписания договора. </w:t>
      </w:r>
    </w:p>
    <w:p w14:paraId="5CBC795D" w14:textId="77777777" w:rsidR="00A27424" w:rsidRPr="00A27424" w:rsidRDefault="00C310B0" w:rsidP="00A27424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*</w:t>
      </w:r>
      <w:r w:rsidR="00A27424" w:rsidRPr="00A27424">
        <w:rPr>
          <w:rFonts w:ascii="GHEA Grapalat" w:hAnsi="GHEA Grapalat"/>
          <w:b/>
          <w:bCs/>
          <w:sz w:val="20"/>
          <w:szCs w:val="20"/>
          <w:lang w:val="hy-AM"/>
        </w:rPr>
        <w:t>**Для лотов 6-12-й  обязательным условием является то, что на дату подачи заявки участником, а также на момент каждой поставки, лекарственный препарат должен быть зарегистрирован в государственном реестре лекарственных средств (регистре), при этом требования, изложенные в части 3 статьи 23 Закона РА «О лекарственных средствах», также применяются на момент каждой поставки.</w:t>
      </w:r>
    </w:p>
    <w:p w14:paraId="4588DF4B" w14:textId="77777777" w:rsidR="00A27424" w:rsidRPr="00A27424" w:rsidRDefault="00A27424" w:rsidP="00A27424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A27424">
        <w:rPr>
          <w:rFonts w:ascii="GHEA Grapalat" w:hAnsi="GHEA Grapalat"/>
          <w:b/>
          <w:bCs/>
          <w:sz w:val="20"/>
          <w:szCs w:val="20"/>
          <w:lang w:val="hy-AM"/>
        </w:rPr>
        <w:t>В случае, если лекарственный препарат не зарегистрирован в государственном реестре, участник должен вместе с договором и квалификационными заверениями представить сертификат о сертификации, выданный ГНКО «Центр экспертизы лекарственных средств и медицинских технологий» Министерства здравоохранения РА для незарегистрированных лекарственных средств, подтверждающий регистрацию лекарственного препарата в международной профессиональной организации или в государстве-члене ЕАЭС, или наличие преквалификации Всемирной организации здравоохранения, а также основания для отказа во ввозе, указанные в части 8 статьи 21, пункте 17 Закона РА «О лекарственных средствах», об отсутствии таковых. В случае, если лекарственный препарат не зарегистрирован в государственном реестре, участник обязан представить сертификат на импорт, выданный Министерством здравоохранения РА, на каждую поставляемую партию на этапе исполнения договора.</w:t>
      </w:r>
    </w:p>
    <w:p w14:paraId="2EEB196A" w14:textId="77777777" w:rsidR="00A27424" w:rsidRPr="00A27424" w:rsidRDefault="00A27424" w:rsidP="00A27424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A27424">
        <w:rPr>
          <w:rFonts w:ascii="GHEA Grapalat" w:hAnsi="GHEA Grapalat"/>
          <w:b/>
          <w:bCs/>
          <w:sz w:val="20"/>
          <w:szCs w:val="20"/>
          <w:lang w:val="hy-AM"/>
        </w:rPr>
        <w:t>Условия транспортировки и хранения – в соответствии с требованиями статьи 22 Закона «О лекарственных средствах».</w:t>
      </w:r>
    </w:p>
    <w:p w14:paraId="327D666A" w14:textId="0C3AB0D5" w:rsidR="00A27424" w:rsidRDefault="00A27424" w:rsidP="00A27424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A27424">
        <w:rPr>
          <w:rFonts w:ascii="GHEA Grapalat" w:hAnsi="GHEA Grapalat"/>
          <w:b/>
          <w:bCs/>
          <w:sz w:val="20"/>
          <w:szCs w:val="20"/>
          <w:lang w:val="hy-AM"/>
        </w:rPr>
        <w:t>Заключение лабораторной экспертизы, проведенной Закрытым акционерным обществом «Центр экспертизы лекарств и медицинских технологий имени академика Эмиля Габриеляна», представляется участником на этапе исполнения договора при отсутствии одного из случаев, указанных в подпункте 8 пункта 3 порядка, установленного Постановлением Правительства РА № 502-Н.</w:t>
      </w:r>
    </w:p>
    <w:p w14:paraId="57991C34" w14:textId="011EF125" w:rsidR="00A27424" w:rsidRPr="0008499B" w:rsidRDefault="00A27424" w:rsidP="00A27424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A27424">
        <w:rPr>
          <w:rFonts w:ascii="GHEA Grapalat" w:hAnsi="GHEA Grapalat"/>
          <w:b/>
          <w:bCs/>
          <w:sz w:val="20"/>
          <w:szCs w:val="20"/>
          <w:lang w:val="ru-RU"/>
        </w:rPr>
        <w:t xml:space="preserve">*Технические характеристики товара, предоставляемые участником, а в случаях, предусмотренных приглашением, товарный знак предлагаемого товара, наименование производителя, а в лоте 15 – </w:t>
      </w:r>
      <w:proofErr w:type="spellStart"/>
      <w:r w:rsidRPr="00A27424">
        <w:rPr>
          <w:rFonts w:ascii="GHEA Grapalat" w:hAnsi="GHEA Grapalat"/>
          <w:b/>
          <w:bCs/>
          <w:sz w:val="20"/>
          <w:szCs w:val="20"/>
          <w:lang w:val="ru-RU"/>
        </w:rPr>
        <w:t>еше</w:t>
      </w:r>
      <w:proofErr w:type="spellEnd"/>
      <w:r w:rsidRPr="00A27424">
        <w:rPr>
          <w:rFonts w:ascii="GHEA Grapalat" w:hAnsi="GHEA Grapalat"/>
          <w:b/>
          <w:bCs/>
          <w:sz w:val="20"/>
          <w:szCs w:val="20"/>
          <w:lang w:val="ru-RU"/>
        </w:rPr>
        <w:t xml:space="preserve"> и модель, должны соответствовать друг другу и минимальным требованиям технических характеристик, указанных в приглашении. В этом случае оценочная комиссия также оценивает соответствие полных описаний представленного товара требованиям приглашения, и если оценочная комиссия фиксирует несоответствия полного описания товара, предлагаемого участником, требованиям, указанным в приглашении, и они не устранены участником в установленном порядке или в результате исправления возникают иные несоответствия, то указанное обстоятельство считается нарушением обязательства, принятого в рамках процедуры закупки, и является основанием для оценки заявки данного участника как неудовлетворительной и ее отклонения.</w:t>
      </w:r>
    </w:p>
    <w:p w14:paraId="2C45BEAD" w14:textId="14509B33" w:rsidR="00A27424" w:rsidRPr="0008499B" w:rsidRDefault="00A27424" w:rsidP="00A27424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A27424">
        <w:rPr>
          <w:rFonts w:ascii="GHEA Grapalat" w:hAnsi="GHEA Grapalat"/>
          <w:b/>
          <w:bCs/>
          <w:sz w:val="20"/>
          <w:szCs w:val="20"/>
          <w:lang w:val="ru-RU"/>
        </w:rPr>
        <w:lastRenderedPageBreak/>
        <w:t>*Для всех дозировок обязательно указание товарного знака и информации о производителе (указание организации-производителя обязательно).</w:t>
      </w:r>
    </w:p>
    <w:p w14:paraId="11FA3A60" w14:textId="685F1FDD" w:rsidR="00A27424" w:rsidRPr="0008499B" w:rsidRDefault="00A27424" w:rsidP="00A27424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A27424">
        <w:rPr>
          <w:rFonts w:ascii="GHEA Grapalat" w:hAnsi="GHEA Grapalat"/>
          <w:b/>
          <w:bCs/>
          <w:sz w:val="20"/>
          <w:szCs w:val="20"/>
          <w:lang w:val="ru-RU"/>
        </w:rPr>
        <w:t>*В случае если участник в заявке укажет более одного товарного знака или производителя для одного и того же товара, на этапе исполнения договора единовременная и (или) поэтапная поставка товара всей партии, указанной в договоре, будет осуществляться только одним из указанных в договоре товарных знаков или производителей по выбору поставщика.</w:t>
      </w:r>
    </w:p>
    <w:p w14:paraId="1E76F465" w14:textId="3A0CE3C6" w:rsidR="00C72F6C" w:rsidRPr="0008499B" w:rsidRDefault="00C72F6C" w:rsidP="00A27424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C72F6C">
        <w:rPr>
          <w:rFonts w:ascii="GHEA Grapalat" w:hAnsi="GHEA Grapalat"/>
          <w:b/>
          <w:bCs/>
          <w:sz w:val="20"/>
          <w:szCs w:val="20"/>
          <w:lang w:val="ru-RU"/>
        </w:rPr>
        <w:t>*Во всех лекарственных формах, если имеются ссылки на торговое наименование, патент, дизайн или модель, страну происхождения или конкретного источника или производителя, применяется фраза «или эквивалент».</w:t>
      </w:r>
    </w:p>
    <w:p w14:paraId="3D7D49D6" w14:textId="299506B6" w:rsidR="00C72F6C" w:rsidRPr="00C72F6C" w:rsidRDefault="00C72F6C" w:rsidP="00A27424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C72F6C">
        <w:rPr>
          <w:rFonts w:ascii="GHEA Grapalat" w:hAnsi="GHEA Grapalat"/>
          <w:b/>
          <w:bCs/>
          <w:sz w:val="20"/>
          <w:szCs w:val="20"/>
          <w:lang w:val="ru-RU"/>
        </w:rPr>
        <w:t>*В случае возможности различного (двойного) толкования текстов объявления и (или) приглашения, опубликованных на русском и армянском языках, преимущественную силу имеет текст на армянском языке</w:t>
      </w:r>
    </w:p>
    <w:p w14:paraId="0EB6F108" w14:textId="7DD38516" w:rsidR="00C310B0" w:rsidRP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ru-RU"/>
        </w:rPr>
      </w:pPr>
    </w:p>
    <w:sectPr w:rsidR="00C310B0" w:rsidRPr="00C310B0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8499B"/>
    <w:rsid w:val="000A33C8"/>
    <w:rsid w:val="000C6A1A"/>
    <w:rsid w:val="000D0B90"/>
    <w:rsid w:val="000D3ED0"/>
    <w:rsid w:val="00146EC7"/>
    <w:rsid w:val="0016394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44FEA"/>
    <w:rsid w:val="00250361"/>
    <w:rsid w:val="00257693"/>
    <w:rsid w:val="002944DF"/>
    <w:rsid w:val="002B082E"/>
    <w:rsid w:val="002D1E39"/>
    <w:rsid w:val="00321884"/>
    <w:rsid w:val="00331D0D"/>
    <w:rsid w:val="003464A2"/>
    <w:rsid w:val="00346878"/>
    <w:rsid w:val="00347877"/>
    <w:rsid w:val="003613BA"/>
    <w:rsid w:val="00366ED7"/>
    <w:rsid w:val="00382EA4"/>
    <w:rsid w:val="00384808"/>
    <w:rsid w:val="003F0AB4"/>
    <w:rsid w:val="00402FE1"/>
    <w:rsid w:val="00427AE2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5020DD"/>
    <w:rsid w:val="00502E40"/>
    <w:rsid w:val="005366EA"/>
    <w:rsid w:val="00550291"/>
    <w:rsid w:val="00567FCE"/>
    <w:rsid w:val="005B178A"/>
    <w:rsid w:val="005B653C"/>
    <w:rsid w:val="005C411E"/>
    <w:rsid w:val="005D442E"/>
    <w:rsid w:val="005F29A2"/>
    <w:rsid w:val="0061212B"/>
    <w:rsid w:val="00640BDB"/>
    <w:rsid w:val="0067570B"/>
    <w:rsid w:val="006D2A39"/>
    <w:rsid w:val="006E0BC7"/>
    <w:rsid w:val="006E7E76"/>
    <w:rsid w:val="0074334B"/>
    <w:rsid w:val="00745D49"/>
    <w:rsid w:val="00754C18"/>
    <w:rsid w:val="0079392C"/>
    <w:rsid w:val="007B2C61"/>
    <w:rsid w:val="007C1FFB"/>
    <w:rsid w:val="007C3B50"/>
    <w:rsid w:val="007D64B8"/>
    <w:rsid w:val="007E61F7"/>
    <w:rsid w:val="008202C0"/>
    <w:rsid w:val="008372B0"/>
    <w:rsid w:val="0084111B"/>
    <w:rsid w:val="00871075"/>
    <w:rsid w:val="0087594B"/>
    <w:rsid w:val="0087681E"/>
    <w:rsid w:val="00880938"/>
    <w:rsid w:val="008A0A16"/>
    <w:rsid w:val="008B367B"/>
    <w:rsid w:val="008E0FA2"/>
    <w:rsid w:val="008E33CD"/>
    <w:rsid w:val="00906A5D"/>
    <w:rsid w:val="0091056D"/>
    <w:rsid w:val="00952648"/>
    <w:rsid w:val="00973142"/>
    <w:rsid w:val="00984C5D"/>
    <w:rsid w:val="009866FA"/>
    <w:rsid w:val="009B4AEA"/>
    <w:rsid w:val="009C0B90"/>
    <w:rsid w:val="009D439E"/>
    <w:rsid w:val="009F2A61"/>
    <w:rsid w:val="00A16CA9"/>
    <w:rsid w:val="00A16FC8"/>
    <w:rsid w:val="00A27424"/>
    <w:rsid w:val="00A300D8"/>
    <w:rsid w:val="00A623EA"/>
    <w:rsid w:val="00A630F5"/>
    <w:rsid w:val="00AB439B"/>
    <w:rsid w:val="00AF7829"/>
    <w:rsid w:val="00B015C9"/>
    <w:rsid w:val="00B3135F"/>
    <w:rsid w:val="00B52CA1"/>
    <w:rsid w:val="00B628AC"/>
    <w:rsid w:val="00B95259"/>
    <w:rsid w:val="00BD0A3C"/>
    <w:rsid w:val="00BD7475"/>
    <w:rsid w:val="00C310B0"/>
    <w:rsid w:val="00C43A02"/>
    <w:rsid w:val="00C550A5"/>
    <w:rsid w:val="00C56210"/>
    <w:rsid w:val="00C64003"/>
    <w:rsid w:val="00C72705"/>
    <w:rsid w:val="00C72F6C"/>
    <w:rsid w:val="00C731B2"/>
    <w:rsid w:val="00C759B9"/>
    <w:rsid w:val="00C9260C"/>
    <w:rsid w:val="00CB2A01"/>
    <w:rsid w:val="00CD5C44"/>
    <w:rsid w:val="00CD7CA3"/>
    <w:rsid w:val="00CE1E32"/>
    <w:rsid w:val="00CF2E7F"/>
    <w:rsid w:val="00D50429"/>
    <w:rsid w:val="00D90FCA"/>
    <w:rsid w:val="00DB5D8D"/>
    <w:rsid w:val="00DC0BA2"/>
    <w:rsid w:val="00E1280B"/>
    <w:rsid w:val="00E2234A"/>
    <w:rsid w:val="00E30E91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3517F"/>
    <w:rsid w:val="00F41B17"/>
    <w:rsid w:val="00F66FE9"/>
    <w:rsid w:val="00FC1B1D"/>
    <w:rsid w:val="00FD407E"/>
    <w:rsid w:val="00FF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6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18</Pages>
  <Words>7208</Words>
  <Characters>41086</Characters>
  <Application>Microsoft Office Word</Application>
  <DocSecurity>0</DocSecurity>
  <Lines>342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2023-09-29T05:35:00Z</dcterms:created>
  <dcterms:modified xsi:type="dcterms:W3CDTF">2025-08-07T09:47:00Z</dcterms:modified>
</cp:coreProperties>
</file>