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ՎԱՔՏ-ԷԱՃԱՊՁԲ-25/19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ՎԱՔՏ-ԷԱՃԱՊՁԲ-25/19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8.15Պայմանագիրն ուժի մեջ մտնելուց հետո պայմանագրով սահմանված Գնորդի իրավունքներն ու պարտավորությունները փոխանցվում են Քաղաքաշինության, տեխնիկական և հրդեհային անվտանգության տեսչական մարմնին՝ բացառությամբ ֆինանսական գործառույթների:</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 ըստ գործող օրենսդրության: Պայմանական նշանները՝ վախենում է կրակից: Տեղափոխման անվտանգությունը ՝ հրավտանգ: Մատակարարումը` կտրոնային:
•	Ապրանքի որակի սերտիֆիկատի առկայությունը պարտադիր է:
•	 Կտրոններն ուժի մեջ պետք է լինեն մատակարարման օրվան հաջորդող առնվազն 12 ամսվա ընթացքում և ք. Երևանում (առնվազն 10 բենզալցակայան,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40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