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և հանրային սննդի նյութերի ձեռքբերում ՀՀ ՆԳՆ ԷԱՃԱՊՁԲ-2025/Ա-109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և հանրային սննդի նյութերի ձեռքբերում ՀՀ ՆԳՆ ԷԱՃԱՊՁԲ-2025/Ա-109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և հանրային սննդի նյութերի ձեռքբերում ՀՀ ՆԳՆ ԷԱՃԱՊՁԲ-2025/Ա-109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և հանրային սննդի նյութերի ձեռքբերում ՀՀ ՆԳՆ ԷԱՃԱՊՁԲ-2025/Ա-109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հեղուկ՝ թույլ քլորի հոտով: Ակտիվ քլորի զանգվածային մասը 50գ/դմ3–ից ոչ  պակաս /պարտադիր չափանիշ/: Նատրիումի հիդրօքսիդի զանգվածային մասը 20 գ/դմ3–ից ոչ պակաս /պարտադիր չափանիշ/: Ջրածնային իոնների խտությունը՝ PH-10-12: Նախատեսված է բամբակե, վուշե գործվածքները սպիտակեցնելու, կեղտաբծերը հեռացնելու համար: Օգտագործվում է նաև արծնապատված, ճենապակյա, հախճապակյա սպասքը, երեսպատման սալիկները, զուգարանակոնքերը և աղբամանները լվանալու և ախտահանելու համար: Բաղադրության մեջ մտնող ակտիվ հավելանյութերը գործվածքները պաշտպանում են փչանալուց: Նախատեսված է նաև կիսաավտոմատ և ավտոմատ լվացքի մեքենաների համար: Հատուկ բարձր ճնշման   պոլիէթիլենային 1 լիտրանոց տարաներով, (ոչ պլաստիկ) տարայի պատի հաստությունը առնվազն 1.2մմ: Յուրաքանչյուրը գունավոր պիտակավորված, վրան  նշումներ, հայերեն լեզվով, անվան, քաշի,  բաղադրության,  օգտագործման նպատակի և ձևի, պիտանելիության ժամկետի և արտադրողի վերաբերյալ /հասցե, հեռախոս, էլ. Փոստ/ Ապրանքը մատակարարելիս պիտանելիության ժամկետի ավարտին մնացած  լինի առնվազն 18 ամիս: Մատակարարված ապրանքի որակական հատկանիշների համապատասխանելիության հավաստիացման համար, մատակարարը պարտավոր է ներկայացնել հավաստող  փորձաքննության տվյալներ բաղադրության վերաբերյալ հավատարմագրված կազմակերպությունից: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ոչ պակաս 32սմ, վերին չափսը ոչ պակաս 47սմ, վերին մասին ավելացված բռնակներ՝ 14սմ-ից ոչ պակաս ։ Արտադրված՝ վերամշակված հումքից։ Փաթեթավորված՝ փաթեթի մեջ 100 հատ։ Փաթեթի քաշը 1040 գրամից ոչ պակաս։ Հաստությունը 90 միկրոնից ոչ պակաս։ Գույնը սև կամ մուգ կապույտ։ Ստորին մասը ամուր փակված, որ դիմանա մինչև 40-50կգ ծանրությամբ ապրանքին։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հատակ մաքրելու ձողափայտ, հղկված, լաքապատված: Լվացող մասի երկարությունը 31սմ-ից ոչ պակաս, պոչի երկարությունը 150 սմ-ից ոչ պակաս, ընդհանուր քաշը 850 գրամից ոչ պակաս: Լվացող մասը սոսնձված և պտուտակով ձգված պոչին: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130, Նուբարաշեն 1փ.13ա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Նուբարաշեն 1փ.13ա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