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դյուրակիր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դյուրակիր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դյուրակիր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դյուրակիր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Ս&gt; ԱՎԴԱԼԲԵԿՅԱՆԻ ԱՆՎԱՆ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կամ DELL
Անկյունագիծ` 15.6 " / IPS Կետայնություն` 1920 x 1080 / Պրոցեսոր` ոչ պակաս քան 13-րդ սերունդ / Պրոցեսորի cache հիշողություն` նվազագույնը 12ՄԲ Intel Smart Cache / Ընդհանուր միջուկների քանակը՝ նվազագույնը 10 միջուկ, հոսքերի քանակ՝ առնվազն 12/ Առավելագույն տակտային հաճախականություն` նվազագույնը 4․6 ԳՀց / Օպերատիվ հիշողություն` նվազագույնը 16GB DDR4 / SSD կուտակիչ` 512GB M.2 NVMe PCIe SSD / Տեսաքարտ` Intel Iris Xᶱ Graphics / Օպտիկական սկավառակակիր` Ոչ / նվազագույնը Wi-Fi 6E, 802.11ax / Անլար հաղորդակցություն` նվազագույնը Bluetooth 5․3 / Վեբ տեսախցիկ` նվազագույնը 720p HD / Մուտքեր և ելքեր՝ 2 հատ USB Type-A 5Gbps, 1 հատ HDMI 2.1, 1 հատ ականջակալի և մոկրոֆոնի combo մուտք, 1 հատ RJ-45, 2 հատ USB Type-C 10Gbps (USB Power Delivery, DisplayPort 2.1), Մարտկոցը 3 բջիջ՝ 51Վտ/ժ / Մատնահետքի սենսոր / Ստեղնաշարը՝ լուսավորվող (backlit) / Քաշ` առավելագույնը 1.79 կգ /:
 Օպերացիոն համակարգը՝ արտտոնագրված Windows 11 Pro/  
Ապրանքները պետք է լինեն նոր` չօգտագործված: Ապրանքների համար երաշխիքային ժամկետ սահմանել առնվազն 2 տարի՝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առնվազն 2 սերվիս կենտրոններում: Նշված ապրանքի համար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