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ԿԴՄՀՀ-ԷԱՃԱՊՁԲ-25/30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մարզահամերգային համալիր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Ծիծեռնակաբերդի զբոսայգի1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 ԴԵՄԻՐՃՅԱՆԻ ԱՆՎԱՆ ՄԱՐԶԱՀԱՄԵՐԳԱՅԻՆ ՀԱՄԱԼԻՐ» ՓԲԸ-Ի կարիքների համար` դիզելային գեներատորների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Բոյաջյան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055-805561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sccgnumner@gmail.com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մարզահամերգային համալիր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ԿԴՄՀՀ-ԷԱՃԱՊՁԲ-25/30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մարզահամերգային համալիր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մարզահամերգային համալիր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 ԴԵՄԻՐՃՅԱՆԻ ԱՆՎԱՆ ՄԱՐԶԱՀԱՄԵՐԳԱՅԻՆ ՀԱՄԱԼԻՐ» ՓԲԸ-Ի կարիքների համար` դիզելային գեներատորների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մարզահամերգային համալիր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 ԴԵՄԻՐՃՅԱՆԻ ԱՆՎԱՆ ՄԱՐԶԱՀԱՄԵՐԳԱՅԻՆ ՀԱՄԱԼԻՐ» ՓԲԸ-Ի կարիքների համար` դիզելային գեներատորների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ԿԴՄՀՀ-ԷԱՃԱՊՁԲ-25/30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sccgnumner@gmail.com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 ԴԵՄԻՐՃՅԱՆԻ ԱՆՎԱՆ ՄԱՐԶԱՀԱՄԵՐԳԱՅԻՆ ՀԱՄԱԼԻՐ» ՓԲԸ-Ի կարիքների համար` դիզելային գեներատորների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ԿԴՄՀՀ-ԷԱՃԱՊՁԲ-25/30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մարզահամերգային համալիր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ԿԴՄՀՀ-ԷԱՃԱՊՁԲ-25/30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«ԿԴՄՀՀ-ԷԱՃԱՊՁԲ-25/30»*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«ԿԴՄՀՀ-ԷԱՃԱՊՁԲ-25/30»*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ԿԴՄՀՀ-ԷԱՃԱՊՁԲ-25/30*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ԿԴՄՀՀ-ԷԱՃԱՊՁԲ-25/30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«ԿԴՄՀՀ-ԷԱՃԱՊՁԲ-25/30»*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ԿԴՄՀՀ-ԷԱՃԱՊՁԲ-25/30*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ժամկետը սահմանված է պայմանագրի տեխնիկական բնութագրում (Հավելված N 1):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 տեխնիկական բնութագիրը՝ 500 կՎտ, պաշտպանական կոնտեյներով, ավտոմատ պահուստային միացման համակարգով (ATS), արտաքին տեղադրման համար, նախատեսված շահագործման Հայաստանի կլիմայական պայմաններում։
Տեղադրման և շահագործման վայրը՝ արտաքին, նախատեսված բոլոր եղանակային պայմանների համար։ Գեներատորը պետք է լինի նոր (2024թ.), գործարանային փաթեթավորմամբ։
Տեղադրումը, մոնտաժը և նախնական փորձարկումները պետք է իրականացվեն Մատակարարի կողմից։ Մատակարարը պետք է կատարի մոնտաժի համար անհրաժեշտ մալուխների և այլ միջոցների գնահատում և ներառի աշխատանքների ծավալում։
Գեներատորի տեղադրումը համարվում է ավարտված փորձարկման ավարտից հետո։
Փորձարկումից հետո Մատակարարը ներկայացնում է պաշտոնական նամակ գեներատորի շահագործման պատրաստ լինելու մասին, որից հետո սկսվում է երաշխիքային ժամկետը։ Պատվիրատուին պետք է տրամադրվեն տեխնիկական բնութագրերը, շահագործման և տեղադրման հրահանգները, գործարանային գծագրերը և սխեմաները՝ հայերեն, ռուսերեն կամ անգլերեն լեզվով։ Նաեւ պետք է տրամադրվի գործարանային երաշխիք և ISO 8528 և ISO 3046 ստանդարտներին համապատասխանության վկայականներ։
1. Հիմնական բնութագրեր
Անվանում	Ցուցանիշ
Նոմինալ հզորություն	500 կՎտ
Լարում	400/230 Վ (երեք փուլի փոխհոսանք)
Հաճախականություն	50 Հց
Հզորության գործակից (cos φ)	0.8
Ավտոմատ գործարկում	Առկա է
Գեներատորի տեսակ	Սինխրոն, առանց խոզանակների
Տեղադրման տեսակ	Մոբիլ, կոնտեյներով
ATS՝ ավտոմատ պահուստային միացում	Առկա է
Տեղադրման պայմանները	Արտաքին
Աղմուկի մակարդակ	Մինչև ≤70 DBA
2. Շարժիչ
Անվանում	Ցուցանիշ
Մխոցների քանակը	~6 (շարքով կամ V-աձև դասավորված)
Աշխատանքային հզորության ծավալ	Մինչև 15-25 լ
Ներդաշնակման համակարգ	Էլեկտրոնային
Սառեցման համակարգ	Հեղուկային
Նոմինալ պտույտների արագություն	1500 պտ/րոպե
Վառելիքի ծախս (75% բեռի դեպքում)	~90–110 լ/ժամ
Վառելիքի տեսակ	Դիզելային
Ինքնավար աշխատանքի ժամանակ՝ 70% բեռի դեպքում	 ~մինչև 24 ժամ
Ինքնավար աշխատանքի ժամանակ՝ 100% բեռի դեպքում	~մինչև 17 ժամ
3. Փոխհոսանքի սինխրոն գեներատոր (Альтернатор (генератор переменного тока)
Անվանում	Ցուցանիշ
Տեսակ	Սինխրոն
Մեկուսացման դաս	H
Պաշտպանության դաս	IP23 կամ IP44
Լարման կարգավորում	Ավտոմատ (AVR)
Հաճախականության կայունություն	±0.5%
4. Կառավարման համակարգ
Անվանում	Ցուցանիշ
վերահսկում	Առկա է
Ֆունկցիաներ	Համաձայն միջազգային ստանդարտների
Ինտերֆեյսներ	RS485, USB, GSM, Modbus
LCD էկրան	Առկա է
5. Անվտանգություն Պաշտպանություն՝
•	Ավելաբեռնումից
•	Գերտաքացումից
•	Ցածր յուղի ճնշումից
•	Սառեցման հեղուկի բարձր ջերմաստիճանից
Սարքավորում՝
•	Հրդեհ մարիչներ
•	Հողանցում
•	Արտակարգ կանգեցում
6. Կոմպլեկտավորում
•	500 կՎտ գեներատոր
•	Կոնտեյներ 
•	Կոնտրոլլեր
•	Միացման մալուխներ
•	Փաստաթղթեր (անձնագիր, հրահանգներ, սխեմաներ, ISO ստանդարտներին համապատասխանության փաստաթղթեր)
•	Տեխնիկական սպասարկման մատյան
7. Լրացուցիչ
•	Սինխրոնացում այլ գեներատորների հետ
•	Զուգահեռ աշխատանք ապահովելու հնարավորություն՝ սինխրոնացման միջոցով
•	Բարձր տարողությամբ վառելիքի բաք
•	Մոբիլ օգտագործման համար պահանջվող անհրաժեշտ աքսեսուարներ
•	Պահեստամասեր և տեխնիկական սպասարկման հավաքակազմ
8. Լրացուցիչ առանձնահատկություններ
•	Բարձր խտությամբ վուլկանիկ բամբակով ձայնամեկուսացում
•	Պողպատե թափք՝ հակակոռոզիոն էպօքսիդային ներկով
•	Ներկառուցված պողպատե բաք
•	Վառելիքի մակարդակի, յուղի ճնշման և ջրի ջերմաստիճանի սենսորներ
•	Կառավարման վահանակների տարբերակներ
•	Արտաքին վառելիքի բաքերի, պոմպերի և հեռահար մոնիթորինգի միացման հնարավորություն
9. Կապ և կառավարում
Բոլոր նշված հնարավորությունները մատչելի են որպես տարբերակներ (⓪)՝ կախված կառավարման վահանակի տեսակից․
•	RS232 / RS485
•	Modbus / Modbus TCP/IP
•	Ցանցային կապ (CCLAN)
•	GSM/GPRS մոդեմ
•	GPS դիրքորոշում
•	ՀԱՄ համակարգչի ծրագրային ապահովում
•	Հեռակառավարման էկրան
•	Հեռասիգնալ
•	J1939 միացում
Մրցույթում մասնակցողը պարտավոր է ապահովել՝
Երաշխիքային պարտավորություններ՝
•	Առնվազն 12 ամիս կամ 1500 մոթո-ժամ երաշխիք՝ շարժիչի և գեներատորի համար
•	Սպասարկման և վերանորոգման պայմաններ երաշխիքային ժամկետի ընթացքում
•	Պահեստամասերի արագ առաքում
Տեխնիկական փաստաթղթեր ռուսերեն կամ անգլերեն լեզվով՝
•	Գործարկման հրահանգներ, անձնագրեր, միացման սխեմաներ և տեխնիկական սպասարկում
Շահագործման պայմաններ՝
•	Սարքավորումը պետք է հարմարեցված լինի տվյալ տարածաշրջանի կլիմայական պայմաններին (ջերմաստիճան, խոնավություն, ծովի մակերևույթից բարձրություն)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