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22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кишечнорастворимые 300мг»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пролонгированного действия покрытые пленочной оболочкой 300мг.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Клобазам 10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