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:rsidR="00D55146" w:rsidRPr="005E1F72" w:rsidRDefault="00D55146" w:rsidP="00D55146">
      <w:pPr>
        <w:jc w:val="center"/>
        <w:rPr>
          <w:rFonts w:ascii="GHEA Grapalat" w:hAnsi="GHEA Grapalat"/>
          <w:sz w:val="18"/>
          <w:lang w:val="hy-AM"/>
        </w:rPr>
      </w:pPr>
    </w:p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</w:p>
    <w:p w:rsidR="00D55146" w:rsidRPr="007010CE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D55146" w:rsidRPr="007010CE" w:rsidRDefault="00D55146" w:rsidP="00D55146">
      <w:pPr>
        <w:jc w:val="right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                                                            ՀՀ դրամ</w:t>
      </w:r>
    </w:p>
    <w:tbl>
      <w:tblPr>
        <w:tblW w:w="312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2551"/>
        <w:gridCol w:w="579"/>
        <w:gridCol w:w="1137"/>
        <w:gridCol w:w="1119"/>
        <w:gridCol w:w="1559"/>
        <w:gridCol w:w="850"/>
        <w:gridCol w:w="6"/>
        <w:gridCol w:w="986"/>
        <w:gridCol w:w="6"/>
        <w:gridCol w:w="850"/>
        <w:gridCol w:w="1139"/>
        <w:gridCol w:w="992"/>
        <w:gridCol w:w="6"/>
        <w:gridCol w:w="986"/>
        <w:gridCol w:w="6"/>
        <w:gridCol w:w="1261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</w:tblGrid>
      <w:tr w:rsidR="00D55146" w:rsidRPr="00DE1E5A" w:rsidTr="00CD7BFB">
        <w:trPr>
          <w:gridAfter w:val="12"/>
          <w:wAfter w:w="15204" w:type="dxa"/>
        </w:trPr>
        <w:tc>
          <w:tcPr>
            <w:tcW w:w="16019" w:type="dxa"/>
            <w:gridSpan w:val="18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D55146" w:rsidRPr="00DE1E5A" w:rsidTr="00CD7BFB">
        <w:trPr>
          <w:gridAfter w:val="12"/>
          <w:wAfter w:w="15204" w:type="dxa"/>
          <w:trHeight w:val="219"/>
        </w:trPr>
        <w:tc>
          <w:tcPr>
            <w:tcW w:w="710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1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57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815" w:type="dxa"/>
            <w:gridSpan w:val="3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251" w:type="dxa"/>
            <w:gridSpan w:val="5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D55146" w:rsidRPr="00DE1E5A" w:rsidTr="00CD7BFB">
        <w:trPr>
          <w:gridAfter w:val="12"/>
          <w:wAfter w:w="15204" w:type="dxa"/>
          <w:trHeight w:val="1277"/>
        </w:trPr>
        <w:tc>
          <w:tcPr>
            <w:tcW w:w="71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15" w:type="dxa"/>
            <w:gridSpan w:val="3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261" w:type="dxa"/>
            <w:vMerge w:val="restart"/>
            <w:vAlign w:val="center"/>
          </w:tcPr>
          <w:p w:rsidR="00D55146" w:rsidRPr="002D6562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55146" w:rsidRPr="00DE1E5A" w:rsidTr="00CD7BFB">
        <w:trPr>
          <w:gridAfter w:val="12"/>
          <w:wAfter w:w="15204" w:type="dxa"/>
          <w:trHeight w:val="877"/>
        </w:trPr>
        <w:tc>
          <w:tcPr>
            <w:tcW w:w="71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D55146" w:rsidRPr="00515EF1" w:rsidRDefault="00D55146" w:rsidP="00CD7BFB">
            <w:pPr>
              <w:ind w:left="113" w:right="113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Դեղաձևը</w:t>
            </w:r>
          </w:p>
          <w:p w:rsidR="00D55146" w:rsidRPr="00515EF1" w:rsidRDefault="00D55146" w:rsidP="00CD7BFB">
            <w:pPr>
              <w:rPr>
                <w:rFonts w:ascii="Arial Unicode" w:hAnsi="Arial Unicode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Դեղաչափը և թողարկման ձևը (փաթեթավորումը)</w:t>
            </w:r>
          </w:p>
        </w:tc>
        <w:tc>
          <w:tcPr>
            <w:tcW w:w="155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Պահպանման նշանների առկայությունը</w:t>
            </w: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33661139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հալոպերիդոլ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haloperidol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/n05ad01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լուծույթ մ/մ և </w:t>
            </w:r>
            <w:r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ն/ե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5մգ/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1մլ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սրվակներ</w:t>
            </w:r>
            <w:proofErr w:type="spellEnd"/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 պահպանել 15˚-25˚ C-ի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33691197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լևոմեպրոմազին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N05AA02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կաթիլաներարկման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2մլ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33661141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ֆլուֆենազին (ֆլուֆենազինի 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դեկանոատ)/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n05ab02  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 ամպուլներ 1մլ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8-25 C պայմաններում: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33661162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մեթադոն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մեթադոնի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դեղակախույթի</w:t>
            </w:r>
            <w:proofErr w:type="spellEnd"/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մգ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1000մլ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ապակե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8-25 C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շշիկ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33691196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ռիսպերիդոն</w:t>
            </w:r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ներքին ընդունման</w:t>
            </w:r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1մգ/մլ; 30մլ ապակե սրվակ և կաթոցիկ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լոտրվող է, պահպանել 2-8˚C պայմաններում: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  <w:tc>
          <w:tcPr>
            <w:tcW w:w="1267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1267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26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100մգ/2մլ,2մլ ամպուլներ </w:t>
            </w:r>
          </w:p>
        </w:tc>
        <w:tc>
          <w:tcPr>
            <w:tcW w:w="126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կոտրվող է պահպանել 25˚ C-ից ցածր պայմաններում:</w:t>
            </w:r>
          </w:p>
        </w:tc>
        <w:tc>
          <w:tcPr>
            <w:tcW w:w="126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126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126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33621330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նիկեթամիդ</w:t>
            </w:r>
            <w:proofErr w:type="spellEnd"/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250մգ/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;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2մլ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-25˚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33611370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թիամին (թիամինի քլորիդ.) 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chlorid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   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5%/1մլ / a11da01</w:t>
            </w:r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մ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/մ ներարկման</w:t>
            </w:r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50մգ/մլ,1մլ սրվակ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33611350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ascorbic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և ն/ե ներարկումների համար</w:t>
            </w:r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50մգ/մլ, 2մլ ամպուլներ 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33611341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'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թիամին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թիամինի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պիրիդoքսին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պիրիդօքսինի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ցիանոկոբալամին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լիդոկային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լիդոկայինի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100մգ/2մլ+100մգ/2մլ+1մգ/2մլ+20մգ/2մլ: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ցիտրատ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անջուր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գլյուկոզ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D55146"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Ռեհիդրոն</w:t>
            </w:r>
            <w:proofErr w:type="spellEnd"/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դեղաչափված</w:t>
            </w:r>
            <w:proofErr w:type="spellEnd"/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3,5գ+2,5գ+2,9գ+10գ; (20)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18,9գ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11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33691731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դիոսմեկտիտ</w:t>
            </w:r>
            <w:proofErr w:type="spellEnd"/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դեղակախույթի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նարնջի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համով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գ;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փաթեթիկներ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3.76գ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փաթեթիկ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33621250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դեքստրան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70</w:t>
            </w:r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կաթիլաներարկման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60մգ/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;  500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մլ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պ/փ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33621290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էպինեֆրին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էպինեֆրինի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հիդրոտարտրատ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1,82մգ/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1մլ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է: 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33691210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ստրոֆանտին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-G</w:t>
            </w:r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0,25մգ/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1մլ 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20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ալյումինիումի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ֆոսֆատ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aluminium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phosphate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դոնդող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10400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մգ,   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16գ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փաթեթիկ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lastRenderedPageBreak/>
              <w:t>ընթացքում</w:t>
            </w:r>
            <w:proofErr w:type="spellEnd"/>
          </w:p>
        </w:tc>
      </w:tr>
      <w:tr w:rsidR="00314090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276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314090" w:rsidRDefault="00314090" w:rsidP="00314090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դիսուլֆիրամ</w:t>
            </w:r>
            <w:proofErr w:type="spellEnd"/>
          </w:p>
        </w:tc>
        <w:tc>
          <w:tcPr>
            <w:tcW w:w="579" w:type="dxa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  <w:proofErr w:type="spellEnd"/>
          </w:p>
        </w:tc>
        <w:tc>
          <w:tcPr>
            <w:tcW w:w="111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150մգ</w:t>
            </w:r>
          </w:p>
        </w:tc>
        <w:tc>
          <w:tcPr>
            <w:tcW w:w="155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314090" w:rsidRPr="00515EF1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314090" w:rsidRPr="00515EF1" w:rsidRDefault="00314090" w:rsidP="00314090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314090" w:rsidRDefault="00314090" w:rsidP="00314090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</w:tcPr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Default="00314090" w:rsidP="00314090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314090" w:rsidRPr="009E2609" w:rsidRDefault="00314090" w:rsidP="0031409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</w:tbl>
    <w:p w:rsidR="00D55146" w:rsidRPr="00E52EA3" w:rsidRDefault="00D55146" w:rsidP="00D55146">
      <w:pPr>
        <w:jc w:val="center"/>
        <w:rPr>
          <w:rFonts w:ascii="GHEA Grapalat" w:hAnsi="GHEA Grapalat"/>
          <w:sz w:val="20"/>
        </w:rPr>
      </w:pPr>
    </w:p>
    <w:tbl>
      <w:tblPr>
        <w:tblW w:w="14980" w:type="dxa"/>
        <w:tblInd w:w="95" w:type="dxa"/>
        <w:tblLook w:val="04A0" w:firstRow="1" w:lastRow="0" w:firstColumn="1" w:lastColumn="0" w:noHBand="0" w:noVBand="1"/>
      </w:tblPr>
      <w:tblGrid>
        <w:gridCol w:w="14980"/>
      </w:tblGrid>
      <w:tr w:rsidR="00A63094" w:rsidRPr="00A63094" w:rsidTr="00A63094">
        <w:trPr>
          <w:trHeight w:val="660"/>
        </w:trPr>
        <w:tc>
          <w:tcPr>
            <w:tcW w:w="14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9E260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1. Տվյալ գնման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շրջանակներում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ընդգրկված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դեղորայքի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համար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ներկայացվող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տեխնիկական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բնութագրերը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կազմված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են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="009E2609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համաձայն</w:t>
            </w:r>
            <w:proofErr w:type="spellEnd"/>
            <w:r w:rsidR="009E2609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ՀՀ</w:t>
            </w:r>
            <w:proofErr w:type="gram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կառավարության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 2013թ.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մայիսի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2-ի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թիվ</w:t>
            </w:r>
            <w:proofErr w:type="spellEnd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502-Ն </w:t>
            </w:r>
            <w:proofErr w:type="spellStart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>որոշմամբ</w:t>
            </w:r>
            <w:proofErr w:type="spellEnd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հաստատված</w:t>
            </w:r>
            <w:proofErr w:type="spellEnd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>դրույթների</w:t>
            </w:r>
            <w:proofErr w:type="spellEnd"/>
          </w:p>
        </w:tc>
      </w:tr>
      <w:tr w:rsidR="00A63094" w:rsidRPr="00A63094" w:rsidTr="00A63094">
        <w:trPr>
          <w:trHeight w:val="151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 Տեղափոխման պայմանները՝ Եթե դեղը պահանջում է պահպանման և տեղափոխման հատուկ ջերմային, խոնավության ռեժիմներ կամ պայմաններ` ապա այդ պայմանները պետք է համապատասխանեն Հայաստանի Հանրապետության առողջապահության նախարարի 2010 թվականի սեպտեմբերի 9-ի «Դեղերի փոխադրման, պահեստավորման և պահպանման կարգը սահմանելու մասին» N 17-Ն հրամանի պահանջներին:</w:t>
            </w:r>
          </w:p>
        </w:tc>
      </w:tr>
      <w:tr w:rsidR="00A63094" w:rsidRPr="00A63094" w:rsidTr="00A63094">
        <w:trPr>
          <w:trHeight w:val="184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** Պիտանելիության ժամկետները</w:t>
            </w:r>
            <w:proofErr w:type="gramStart"/>
            <w:r w:rsidRPr="00A63094">
              <w:rPr>
                <w:rFonts w:ascii="GHEA Grapalat" w:eastAsia="Times New Roman" w:hAnsi="GHEA Grapalat" w:cs="Calibri"/>
                <w:color w:val="000000"/>
              </w:rPr>
              <w:t>`  ա</w:t>
            </w:r>
            <w:proofErr w:type="gramEnd"/>
            <w:r w:rsidRPr="00A63094">
              <w:rPr>
                <w:rFonts w:ascii="GHEA Grapalat" w:eastAsia="Times New Roman" w:hAnsi="GHEA Grapalat" w:cs="Calibri"/>
                <w:color w:val="000000"/>
              </w:rPr>
              <w:t>. 2,5 տարվանից ավելի պիտանելիությն ժամկետ ունեցող դեղերը հանձման պահին պետք է ունենան առնվաղն 2 տարի պիտանելությն ժամկետ; բ. մինչև 2,5 տարի պիտանելիություն ունեցող դեղորը հանձման պահին պետք է ունենան դեղի ընդհանուր պիտանելիության ժամկետի առնվազն 2/3-</w:t>
            </w:r>
            <w:proofErr w:type="gramStart"/>
            <w:r w:rsidRPr="00A63094">
              <w:rPr>
                <w:rFonts w:ascii="GHEA Grapalat" w:eastAsia="Times New Roman" w:hAnsi="GHEA Grapalat" w:cs="Calibri"/>
                <w:color w:val="000000"/>
              </w:rPr>
              <w:t>ը;  գ</w:t>
            </w:r>
            <w:proofErr w:type="gramEnd"/>
            <w:r w:rsidRPr="00A63094">
              <w:rPr>
                <w:rFonts w:ascii="GHEA Grapalat" w:eastAsia="Times New Roman" w:hAnsi="GHEA Grapalat" w:cs="Calibri"/>
                <w:color w:val="000000"/>
              </w:rPr>
              <w:t>. առանձին դեպքերում, այն է` հիվանդների անհետաձգելի պահանջի բավարարման հիմնավորած անհրաժեշտությունը, դեղի սպառման համար սահմանված կարճ ժամկետները, դեղի հանձման պահին կարող է ունենալ դեղի ընդհանուր պիտանելիության ժամկետի աառնվազն 1/3-ը:</w:t>
            </w:r>
          </w:p>
        </w:tc>
      </w:tr>
      <w:tr w:rsidR="00A63094" w:rsidRPr="00A63094" w:rsidTr="00A63094">
        <w:trPr>
          <w:trHeight w:val="190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3.Մատակարարումը իրականացվում է ըստ պատվիրատուի կողմից ներկայացվող քանակների և մատակարարման ժամկետների, նկատի ունենալով, որ մատակարարման առաջին պատվերի տրամադրման և մատակարարման միջև ընկած ժամանակահատվածը չի կարող պակաս լինել 30 աշխատանքային օրից, եթե  մատակարարը չի համաձայնվում մատակարարումն իրականացնել ավելի կարճ ժամկետում: Ընդ որում հաջորդող պատվերների մատակարարումներն իրականացվում են պատվերի ներկայացմանը հաջորդող 2 օրվա ընթացքում: Պայմանագիրը գործելու է մինչև 2025թ. դեկտեմբերի 25-ը: Մատակարարման վայրը` ք.Վանաձոր, Գ.Նժդեհի 57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:</w:t>
            </w:r>
          </w:p>
        </w:tc>
      </w:tr>
      <w:tr w:rsidR="00A63094" w:rsidRPr="00A63094" w:rsidTr="00A63094">
        <w:trPr>
          <w:trHeight w:val="106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lastRenderedPageBreak/>
              <w:t>4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.  Մատակարարը իր ուժերով և միջոցներով պետք է ապահովի ապրանքների տեղափոխումը, բեռնաթափումը: Ապրանքի վար պարտադիր պետք է լինի ֆիրմայի նշանը, այն պետք է լինի փաթեթավորված և չվնասված:</w:t>
            </w:r>
          </w:p>
        </w:tc>
      </w:tr>
      <w:tr w:rsidR="00A63094" w:rsidRPr="00A63094" w:rsidTr="00A63094">
        <w:trPr>
          <w:trHeight w:val="1110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7A6887" w:rsidP="00F371C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5.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Թիվ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1-</w:t>
            </w:r>
            <w:r>
              <w:rPr>
                <w:rFonts w:ascii="GHEA Grapalat" w:eastAsia="Times New Roman" w:hAnsi="GHEA Grapalat" w:cs="Calibri"/>
                <w:b/>
                <w:bCs/>
                <w:color w:val="000000"/>
                <w:lang w:val="hy-AM"/>
              </w:rPr>
              <w:t>4</w:t>
            </w:r>
            <w:bookmarkStart w:id="0" w:name="_GoBack"/>
            <w:bookmarkEnd w:id="0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չափաբաժինների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համար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F371C1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հաղթող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մասնակիցը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պիտի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ներկայացնի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Թմրամիջոցների կամ հոգեմետ նյութերի կամ Հայաստանի Հանրապետության կառավարության սահմանած դրանց պրեկուրսորների ներմուծում, արտահանում կամ մեծածախ առևտուր իրականացնելու լիցենզիա:</w:t>
            </w:r>
          </w:p>
        </w:tc>
      </w:tr>
    </w:tbl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</w:p>
    <w:p w:rsidR="00D55146" w:rsidRPr="00D55146" w:rsidRDefault="00D55146" w:rsidP="00D55146">
      <w:pPr>
        <w:pStyle w:val="3"/>
        <w:spacing w:line="240" w:lineRule="auto"/>
        <w:jc w:val="left"/>
        <w:rPr>
          <w:rFonts w:ascii="GHEA Grapalat" w:hAnsi="GHEA Grapalat"/>
          <w:b/>
          <w:lang w:val="ru-RU"/>
        </w:rPr>
      </w:pPr>
    </w:p>
    <w:p w:rsidR="00421A30" w:rsidRDefault="00421A30"/>
    <w:sectPr w:rsidR="00421A30" w:rsidSect="00A63094">
      <w:pgSz w:w="16838" w:h="11906" w:orient="landscape"/>
      <w:pgMar w:top="850" w:right="1245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BF0DB6"/>
    <w:multiLevelType w:val="multilevel"/>
    <w:tmpl w:val="714E60E0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87018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0"/>
  </w:num>
  <w:num w:numId="4">
    <w:abstractNumId w:val="17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7"/>
  </w:num>
  <w:num w:numId="12">
    <w:abstractNumId w:val="31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10"/>
  </w:num>
  <w:num w:numId="29">
    <w:abstractNumId w:val="13"/>
  </w:num>
  <w:num w:numId="30">
    <w:abstractNumId w:val="21"/>
  </w:num>
  <w:num w:numId="31">
    <w:abstractNumId w:val="8"/>
  </w:num>
  <w:num w:numId="32">
    <w:abstractNumId w:val="29"/>
  </w:num>
  <w:num w:numId="33">
    <w:abstractNumId w:val="26"/>
  </w:num>
  <w:num w:numId="34">
    <w:abstractNumId w:val="11"/>
  </w:num>
  <w:num w:numId="35">
    <w:abstractNumId w:val="1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55146"/>
    <w:rsid w:val="00314090"/>
    <w:rsid w:val="003B2E3E"/>
    <w:rsid w:val="00421A30"/>
    <w:rsid w:val="00523177"/>
    <w:rsid w:val="007244A2"/>
    <w:rsid w:val="007A6887"/>
    <w:rsid w:val="009E2609"/>
    <w:rsid w:val="00A63094"/>
    <w:rsid w:val="00B96AC7"/>
    <w:rsid w:val="00C41E6B"/>
    <w:rsid w:val="00CD7BFB"/>
    <w:rsid w:val="00D55146"/>
    <w:rsid w:val="00E24BF5"/>
    <w:rsid w:val="00F371C1"/>
    <w:rsid w:val="00FA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72F4C-C296-4B68-8D82-CAFEC423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AC7"/>
  </w:style>
  <w:style w:type="paragraph" w:styleId="1">
    <w:name w:val="heading 1"/>
    <w:basedOn w:val="a"/>
    <w:next w:val="a"/>
    <w:link w:val="10"/>
    <w:qFormat/>
    <w:rsid w:val="00D55146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D55146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D55146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D55146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D55146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D55146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D55146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D55146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paragraph" w:styleId="9">
    <w:name w:val="heading 9"/>
    <w:basedOn w:val="a"/>
    <w:next w:val="a"/>
    <w:link w:val="90"/>
    <w:qFormat/>
    <w:rsid w:val="00D55146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146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D55146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D55146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D55146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D55146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D55146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D55146"/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character" w:customStyle="1" w:styleId="90">
    <w:name w:val="Заголовок 9 Знак"/>
    <w:basedOn w:val="a0"/>
    <w:link w:val="9"/>
    <w:rsid w:val="00D55146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Body Text Indent"/>
    <w:aliases w:val=" Char, Char Char Char Char,Char Char Char Char"/>
    <w:basedOn w:val="a"/>
    <w:link w:val="a4"/>
    <w:rsid w:val="00D5514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5">
    <w:name w:val="footer"/>
    <w:basedOn w:val="a"/>
    <w:link w:val="a6"/>
    <w:rsid w:val="00D5514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D5514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D55146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D55146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D55146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D55146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D5514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D55146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D55146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D55146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D5514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en-US"/>
    </w:rPr>
  </w:style>
  <w:style w:type="character" w:customStyle="1" w:styleId="a8">
    <w:name w:val="Текст выноски Знак"/>
    <w:basedOn w:val="a0"/>
    <w:link w:val="a7"/>
    <w:rsid w:val="00D55146"/>
    <w:rPr>
      <w:rFonts w:ascii="Tahoma" w:eastAsia="Times New Roman" w:hAnsi="Tahoma" w:cs="Times New Roman"/>
      <w:sz w:val="16"/>
      <w:szCs w:val="16"/>
      <w:lang w:val="en-US" w:eastAsia="en-US"/>
    </w:rPr>
  </w:style>
  <w:style w:type="character" w:styleId="a9">
    <w:name w:val="Hyperlink"/>
    <w:rsid w:val="00D55146"/>
    <w:rPr>
      <w:color w:val="0000FF"/>
      <w:u w:val="single"/>
    </w:rPr>
  </w:style>
  <w:style w:type="character" w:customStyle="1" w:styleId="CharChar1">
    <w:name w:val="Char Char1"/>
    <w:locked/>
    <w:rsid w:val="00D55146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D55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rsid w:val="00D551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D5514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c">
    <w:name w:val="index heading"/>
    <w:basedOn w:val="a"/>
    <w:next w:val="11"/>
    <w:semiHidden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d">
    <w:name w:val="header"/>
    <w:basedOn w:val="a"/>
    <w:link w:val="ae"/>
    <w:rsid w:val="00D551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e">
    <w:name w:val="Верхний колонтитул Знак"/>
    <w:basedOn w:val="a0"/>
    <w:link w:val="ad"/>
    <w:rsid w:val="00D551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D55146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D55146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">
    <w:name w:val="Title"/>
    <w:basedOn w:val="a"/>
    <w:link w:val="af0"/>
    <w:qFormat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0">
    <w:name w:val="Название Знак"/>
    <w:basedOn w:val="a0"/>
    <w:link w:val="af"/>
    <w:rsid w:val="00D55146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1">
    <w:name w:val="page number"/>
    <w:basedOn w:val="a0"/>
    <w:rsid w:val="00D55146"/>
  </w:style>
  <w:style w:type="paragraph" w:styleId="af2">
    <w:name w:val="footnote text"/>
    <w:basedOn w:val="a"/>
    <w:link w:val="af3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D551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D5514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D55146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D55146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D5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5">
    <w:name w:val="Strong"/>
    <w:uiPriority w:val="22"/>
    <w:qFormat/>
    <w:rsid w:val="00D55146"/>
    <w:rPr>
      <w:b/>
      <w:bCs/>
    </w:rPr>
  </w:style>
  <w:style w:type="character" w:styleId="af6">
    <w:name w:val="footnote reference"/>
    <w:semiHidden/>
    <w:rsid w:val="00D55146"/>
    <w:rPr>
      <w:vertAlign w:val="superscript"/>
    </w:rPr>
  </w:style>
  <w:style w:type="character" w:customStyle="1" w:styleId="CharChar22">
    <w:name w:val="Char Char22"/>
    <w:rsid w:val="00D55146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D55146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D55146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D55146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D55146"/>
    <w:rPr>
      <w:rFonts w:ascii="Arial Armenian" w:hAnsi="Arial Armenian"/>
      <w:lang w:val="en-US"/>
    </w:rPr>
  </w:style>
  <w:style w:type="character" w:styleId="af7">
    <w:name w:val="annotation reference"/>
    <w:semiHidden/>
    <w:rsid w:val="00D55146"/>
    <w:rPr>
      <w:sz w:val="16"/>
      <w:szCs w:val="16"/>
    </w:rPr>
  </w:style>
  <w:style w:type="paragraph" w:styleId="af8">
    <w:name w:val="annotation text"/>
    <w:basedOn w:val="a"/>
    <w:link w:val="af9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9">
    <w:name w:val="Текст примечания Знак"/>
    <w:basedOn w:val="a0"/>
    <w:link w:val="af8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a">
    <w:name w:val="annotation subject"/>
    <w:basedOn w:val="af8"/>
    <w:next w:val="af8"/>
    <w:link w:val="afb"/>
    <w:semiHidden/>
    <w:rsid w:val="00D55146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D55146"/>
    <w:rPr>
      <w:rFonts w:ascii="Times Armenian" w:eastAsia="Times New Roman" w:hAnsi="Times Armenian" w:cs="Times New Roman"/>
      <w:b/>
      <w:bCs/>
      <w:sz w:val="20"/>
      <w:szCs w:val="20"/>
      <w:lang w:val="en-US"/>
    </w:rPr>
  </w:style>
  <w:style w:type="paragraph" w:styleId="afc">
    <w:name w:val="endnote text"/>
    <w:basedOn w:val="a"/>
    <w:link w:val="afd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d">
    <w:name w:val="Текст концевой сноски Знак"/>
    <w:basedOn w:val="a0"/>
    <w:link w:val="afc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e">
    <w:name w:val="endnote reference"/>
    <w:semiHidden/>
    <w:rsid w:val="00D55146"/>
    <w:rPr>
      <w:vertAlign w:val="superscript"/>
    </w:rPr>
  </w:style>
  <w:style w:type="paragraph" w:styleId="aff">
    <w:name w:val="Document Map"/>
    <w:basedOn w:val="a"/>
    <w:link w:val="aff0"/>
    <w:semiHidden/>
    <w:rsid w:val="00D5514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0">
    <w:name w:val="Схема документа Знак"/>
    <w:basedOn w:val="a0"/>
    <w:link w:val="aff"/>
    <w:semiHidden/>
    <w:rsid w:val="00D5514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1">
    <w:name w:val="Revision"/>
    <w:hidden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2">
    <w:name w:val="Table Grid"/>
    <w:basedOn w:val="a1"/>
    <w:uiPriority w:val="39"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D5514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D55146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customStyle="1" w:styleId="CharChar25">
    <w:name w:val="Char Char25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D55146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D55146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D55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D5514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D5514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D5514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D55146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D55146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D55146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D55146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ff4">
    <w:name w:val="Абзац списка Знак"/>
    <w:link w:val="aff3"/>
    <w:uiPriority w:val="34"/>
    <w:locked/>
    <w:rsid w:val="00D55146"/>
    <w:rPr>
      <w:rFonts w:ascii="Times Armenian" w:eastAsia="Times New Roman" w:hAnsi="Times Armenian" w:cs="Times New Roman"/>
      <w:sz w:val="24"/>
      <w:szCs w:val="24"/>
      <w:lang w:val="en-US"/>
    </w:rPr>
  </w:style>
  <w:style w:type="character" w:styleId="aff7">
    <w:name w:val="Emphasis"/>
    <w:qFormat/>
    <w:rsid w:val="00D55146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D55146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D551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2024-10-25T08:33:00Z</dcterms:created>
  <dcterms:modified xsi:type="dcterms:W3CDTF">2025-08-14T12:22:00Z</dcterms:modified>
</cp:coreProperties>
</file>