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2025 թվականի  դեղորայքի  ձեռքբերում 25/22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2025 թվականի  դեղորայքի  ձեռքբերում 25/22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2025 թվականի  դեղորայքի  ձեռքբերում 25/22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2025 թվականի  դեղորայքի  ձեռքբերում 25/22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ՓԲԸ_Ի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312,5մգ/5մլ ֆորտե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ներերակային ներ. 250մգ/5մլ,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24մգ/մլ,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250մգ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40մգ/մլ+45.2մգ/մլ,10մլ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դ/փոշի  դեղաչափված 3,5մգ+2,5մգ+2,9մգ+ 10մգ,  18,9գ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(կաթիլներ) 18,4մգ/մլ+ 18,4մգ/մլ, 20մլ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10մգ/2մ լ+ 2մգ/2մլ + 10մգ/2մլ+ 100մգ/2մլ,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5մգ/1,5մլ,  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դփ/ներ ն/ե,մ/մ, լուծույթի սրվ. 1գ  ֆլակոն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