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ՀՀ-ԱՄ-ԱՀ-ԷԱՃԱՊՁԲ-96/25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դարբնագործ ժամացույցի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ՀՀ-ԱՄ-ԱՀ-ԷԱՃԱՊՁԲ-96/25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դարբնագործ ժամացույցի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դարբնագործ ժամացույցի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ՀՀ-ԱՄ-ԱՀ-ԷԱՃԱՊՁԲ-96/25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դարբնագործ ժամացույցի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2025.09.01.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ՀՀ-ԱՄ-ԱՀ-ԷԱՃԱՊՁԲ-96/25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ՀՀ-ԱՄ-ԱՀ-ԷԱՃԱՊՁԲ-96/25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«ՀՀ-ԱՄ-ԱՀ-ԷԱՃԱՊՁԲ-96/25»*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«ՀՀ-ԱՄ-ԱՀ-ԷԱՃԱՊՁԲ-96/25»*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դարբնագործ ժամացույց՝ տեսքը ըստ կից նկարի,ժամացույցը լուսավորվող է,պատրաստված թուջե և այլումինե ձուլվածքներից,հիմնական կրող սյունը՝ մետաղական,90 անկյամբ չորս կողմանի ցուցադրող,աշխատանքային մեխանիզմը՝ 220 վոլտ լարմամբ,չորսը ժամացույցերը կառձավարվում են մեկ վահանակից,որը նախատեսված է էլեկտրոէներգիայի և այլ տատանումների դեպքում հեռվից կառավարելու և ժամը ուղղելու համար,բարձրությունը 3500մմ, վահանակի տրամագիծը՝450մմ,ժամացույցների ծածկը ապակյա 4մմ՝ հերմետիկ  փակված, ապահովված անձրևաջրերի ներթափանցումից, ժամացույցներում պետք է նախատեսված լինեն ջերմային տատանումների համար նախատեսված օդափոխության համակարգ, գույնը և թվատախտակի դիզայնը  համաձայնեցնել Պատվիրատուի հետ: Տեղափոխումը և տեղադրումը կատարվում է Վաճառողի կողմից սեփական միջոցների հաշվին: Երաշխիքային ժամկետ է սահմանվում՝ ապրանքը հանձման-ընդունման ակտի ստորագրման օրվանից  հաշված 365 օրացուցային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